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3753B2E3" w14:textId="55E692E4" w:rsidR="001112BE" w:rsidRDefault="001112BE" w:rsidP="001112BE">
      <w:pPr>
        <w:pStyle w:val="Standard"/>
        <w:jc w:val="center"/>
        <w:rPr>
          <w:rFonts w:ascii="Times New Roman" w:eastAsia="標楷體" w:hAnsi="Times New Roman" w:cs="Times New Roman"/>
          <w:b/>
          <w:sz w:val="36"/>
          <w:szCs w:val="36"/>
        </w:rPr>
      </w:pPr>
      <w:r w:rsidRPr="001112BE">
        <w:rPr>
          <w:rFonts w:ascii="Times New Roman" w:eastAsia="標楷體" w:hAnsi="Times New Roman" w:cs="Times New Roman" w:hint="eastAsia"/>
          <w:b/>
          <w:sz w:val="36"/>
          <w:szCs w:val="36"/>
        </w:rPr>
        <w:t>國立宜蘭大學</w:t>
      </w:r>
      <w:r w:rsidRPr="001112BE">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hint="eastAsia"/>
          <w:b/>
          <w:sz w:val="36"/>
          <w:szCs w:val="36"/>
        </w:rPr>
        <w:t>/</w:t>
      </w:r>
      <w:r w:rsidRPr="001112BE">
        <w:rPr>
          <w:rFonts w:ascii="Times New Roman" w:eastAsia="標楷體" w:hAnsi="Times New Roman" w:cs="Times New Roman" w:hint="eastAsia"/>
          <w:b/>
          <w:color w:val="FF0000"/>
          <w:sz w:val="36"/>
          <w:szCs w:val="36"/>
          <w:u w:val="single"/>
        </w:rPr>
        <w:t>保健食品</w:t>
      </w:r>
      <w:r w:rsidRPr="001112BE">
        <w:rPr>
          <w:rFonts w:ascii="Times New Roman" w:eastAsia="標楷體" w:hAnsi="Times New Roman" w:cs="Times New Roman" w:hint="eastAsia"/>
          <w:b/>
          <w:sz w:val="36"/>
          <w:szCs w:val="36"/>
        </w:rPr>
        <w:t>實驗室</w:t>
      </w:r>
      <w:r>
        <w:rPr>
          <w:rFonts w:ascii="Times New Roman" w:eastAsia="標楷體" w:hAnsi="Times New Roman" w:cs="Times New Roman" w:hint="eastAsia"/>
          <w:b/>
          <w:sz w:val="36"/>
          <w:szCs w:val="36"/>
        </w:rPr>
        <w:t xml:space="preserve">   </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0110A7" w:rsidRPr="00B300E8" w14:paraId="7D45D559" w14:textId="77777777" w:rsidTr="00806B81">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526F7CC"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2FD42D2"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8F959D7"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0F867FE"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4BA61C7" w14:textId="77777777" w:rsidR="000110A7" w:rsidRPr="00B300E8" w:rsidRDefault="000110A7" w:rsidP="00806B81">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0110A7" w:rsidRPr="00B300E8" w14:paraId="6B924549" w14:textId="77777777" w:rsidTr="00806B81">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B16B12A" w14:textId="77777777" w:rsidR="000110A7" w:rsidRPr="00B300E8" w:rsidRDefault="000110A7" w:rsidP="00806B81">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0977F96" w14:textId="77777777" w:rsidR="000110A7" w:rsidRPr="00B300E8" w:rsidRDefault="000110A7" w:rsidP="00806B81">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F06638D" w14:textId="77777777" w:rsidR="000110A7" w:rsidRPr="00B300E8" w:rsidRDefault="000110A7" w:rsidP="00806B81">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25EBB1"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0CFCC7B"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EE442CF"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5E3B48C" w14:textId="77777777" w:rsidR="000110A7" w:rsidRPr="00B300E8" w:rsidRDefault="000110A7" w:rsidP="00806B81">
            <w:pPr>
              <w:rPr>
                <w:rFonts w:ascii="Times New Roman" w:hAnsi="Times New Roman" w:cs="Times New Roman"/>
              </w:rPr>
            </w:pPr>
          </w:p>
        </w:tc>
      </w:tr>
      <w:tr w:rsidR="000110A7" w:rsidRPr="00B300E8" w14:paraId="38EA18DC" w14:textId="77777777" w:rsidTr="00806B81">
        <w:trPr>
          <w:cantSplit/>
          <w:trHeight w:val="949"/>
          <w:jc w:val="center"/>
        </w:trPr>
        <w:tc>
          <w:tcPr>
            <w:tcW w:w="871" w:type="dxa"/>
            <w:vMerge w:val="restart"/>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4DC1FC1A"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實務管理</w:t>
            </w:r>
          </w:p>
          <w:p w14:paraId="25F155A0"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w:t>
            </w:r>
            <w:r w:rsidRPr="00B300E8">
              <w:rPr>
                <w:rFonts w:ascii="Times New Roman" w:eastAsia="標楷體" w:hAnsi="Times New Roman" w:cs="Times New Roman"/>
                <w:b/>
                <w:szCs w:val="24"/>
              </w:rPr>
              <w:t>化學品管理暨危害預防</w:t>
            </w:r>
            <w:r w:rsidRPr="00B300E8">
              <w:rPr>
                <w:rFonts w:ascii="Times New Roman" w:eastAsia="標楷體" w:hAnsi="Times New Roman" w:cs="Times New Roman"/>
                <w:b/>
                <w:szCs w:val="24"/>
              </w:rPr>
              <w:t>)</w:t>
            </w:r>
          </w:p>
        </w:tc>
        <w:tc>
          <w:tcPr>
            <w:tcW w:w="542"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66EAF5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F80346">
              <w:rPr>
                <w:rFonts w:ascii="Times New Roman" w:eastAsia="標楷體" w:hAnsi="Times New Roman" w:cs="Times New Roman"/>
                <w:color w:val="FF0000"/>
                <w:szCs w:val="24"/>
              </w:rPr>
              <w:t>19</w:t>
            </w: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DD4EB" w14:textId="77777777" w:rsidR="00F80346" w:rsidRPr="00F80346" w:rsidRDefault="00F80346" w:rsidP="00F80346">
            <w:pPr>
              <w:suppressAutoHyphens/>
              <w:autoSpaceDN w:val="0"/>
              <w:spacing w:line="276" w:lineRule="auto"/>
              <w:jc w:val="both"/>
              <w:textAlignment w:val="baseline"/>
              <w:rPr>
                <w:rFonts w:ascii="標楷體" w:eastAsia="標楷體" w:hAnsi="標楷體" w:cs="Times New Roman"/>
                <w:color w:val="FF0000"/>
                <w:sz w:val="22"/>
              </w:rPr>
            </w:pPr>
            <w:r w:rsidRPr="00F80346">
              <w:rPr>
                <w:rFonts w:ascii="標楷體" w:eastAsia="標楷體" w:hAnsi="標楷體" w:cs="Times New Roman" w:hint="eastAsia"/>
                <w:color w:val="FF0000"/>
                <w:sz w:val="22"/>
              </w:rPr>
              <w:t>19-1</w:t>
            </w:r>
          </w:p>
          <w:p w14:paraId="4F49A31A" w14:textId="2DCC8F2F" w:rsidR="000110A7" w:rsidRPr="00F80346" w:rsidRDefault="000110A7" w:rsidP="00F80346">
            <w:pPr>
              <w:suppressAutoHyphens/>
              <w:autoSpaceDN w:val="0"/>
              <w:spacing w:line="276" w:lineRule="auto"/>
              <w:jc w:val="both"/>
              <w:textAlignment w:val="baseline"/>
              <w:rPr>
                <w:rFonts w:ascii="標楷體" w:eastAsia="標楷體" w:hAnsi="標楷體" w:cs="Times New Roman"/>
                <w:sz w:val="22"/>
              </w:rPr>
            </w:pPr>
            <w:r w:rsidRPr="00F80346">
              <w:rPr>
                <w:rFonts w:ascii="標楷體" w:eastAsia="標楷體" w:hAnsi="標楷體" w:cs="Times New Roman"/>
                <w:sz w:val="22"/>
              </w:rPr>
              <w:t>設置於高壓氣體 (例：液化石油氣)消費設備</w:t>
            </w:r>
            <w:proofErr w:type="gramStart"/>
            <w:r w:rsidRPr="00F80346">
              <w:rPr>
                <w:rFonts w:ascii="標楷體" w:eastAsia="標楷體" w:hAnsi="標楷體" w:cs="Times New Roman"/>
                <w:sz w:val="22"/>
              </w:rPr>
              <w:t>之閥或旋塞與該閥</w:t>
            </w:r>
            <w:proofErr w:type="gramEnd"/>
            <w:r w:rsidRPr="00F80346">
              <w:rPr>
                <w:rFonts w:ascii="標楷體" w:eastAsia="標楷體" w:hAnsi="標楷體" w:cs="Times New Roman"/>
                <w:sz w:val="22"/>
              </w:rPr>
              <w:t>之相關裝置有關之配管，應</w:t>
            </w:r>
            <w:proofErr w:type="gramStart"/>
            <w:r w:rsidRPr="00F80346">
              <w:rPr>
                <w:rFonts w:ascii="標楷體" w:eastAsia="標楷體" w:hAnsi="標楷體" w:cs="Times New Roman"/>
                <w:sz w:val="22"/>
              </w:rPr>
              <w:t>於近接</w:t>
            </w:r>
            <w:proofErr w:type="gramEnd"/>
            <w:r w:rsidRPr="00F80346">
              <w:rPr>
                <w:rFonts w:ascii="標楷體" w:eastAsia="標楷體" w:hAnsi="標楷體" w:cs="Times New Roman"/>
                <w:sz w:val="22"/>
              </w:rPr>
              <w:t>該裝置之部位，以容易識別之方法標示該配管內之氣體或其他流體之種類及流動方向。(高壓氣體勞工安全172)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2F802" w14:textId="77777777" w:rsidR="000110A7" w:rsidRPr="0034453B"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13D38" w14:textId="26A1ADAC" w:rsidR="000110A7" w:rsidRPr="0034453B"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654AC" w14:textId="4120E944" w:rsidR="000110A7" w:rsidRPr="0034453B" w:rsidRDefault="00E00A5C" w:rsidP="00806B81">
            <w:pPr>
              <w:pStyle w:val="Standard"/>
              <w:spacing w:line="276" w:lineRule="auto"/>
              <w:jc w:val="center"/>
              <w:rPr>
                <w:rFonts w:ascii="標楷體" w:eastAsia="標楷體" w:hAnsi="標楷體" w:cs="Times New Roman"/>
                <w:sz w:val="22"/>
              </w:rPr>
            </w:pPr>
            <w:r w:rsidRPr="00FE254D">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FAB47B1" w14:textId="06FBE21B" w:rsidR="000110A7" w:rsidRPr="00BE126D" w:rsidRDefault="00BE126D" w:rsidP="00806B81">
            <w:pPr>
              <w:pStyle w:val="Standard"/>
              <w:rPr>
                <w:rFonts w:ascii="標楷體" w:eastAsia="標楷體" w:hAnsi="標楷體" w:cs="Times New Roman"/>
                <w:color w:val="FF0000"/>
                <w:sz w:val="22"/>
              </w:rPr>
            </w:pPr>
            <w:proofErr w:type="gramStart"/>
            <w:r w:rsidRPr="00BE126D">
              <w:rPr>
                <w:rFonts w:ascii="標楷體" w:eastAsia="標楷體" w:hAnsi="標楷體" w:cs="Times New Roman" w:hint="eastAsia"/>
                <w:color w:val="FF0000"/>
                <w:kern w:val="2"/>
                <w:sz w:val="22"/>
              </w:rPr>
              <w:t>註</w:t>
            </w:r>
            <w:proofErr w:type="gramEnd"/>
            <w:r w:rsidRPr="00BE126D">
              <w:rPr>
                <w:rFonts w:ascii="標楷體" w:eastAsia="標楷體" w:hAnsi="標楷體" w:cs="Times New Roman" w:hint="eastAsia"/>
                <w:color w:val="FF0000"/>
                <w:kern w:val="2"/>
                <w:sz w:val="22"/>
              </w:rPr>
              <w:t>:</w:t>
            </w:r>
            <w:r w:rsidRPr="00BE126D">
              <w:rPr>
                <w:rFonts w:ascii="標楷體" w:eastAsia="標楷體" w:hAnsi="標楷體" w:cs="Times New Roman"/>
                <w:color w:val="FF0000"/>
                <w:kern w:val="2"/>
                <w:sz w:val="22"/>
              </w:rPr>
              <w:t>高壓氣體消費設備是指用於減壓、燃燒、反應、溶解或將高壓氣體轉化為非高壓氣體狀態的設備。</w:t>
            </w:r>
            <w:r w:rsidR="009F65B3">
              <w:rPr>
                <w:rFonts w:ascii="標楷體" w:eastAsia="標楷體" w:hAnsi="標楷體" w:cs="Times New Roman" w:hint="eastAsia"/>
                <w:color w:val="FF0000"/>
                <w:kern w:val="2"/>
                <w:sz w:val="22"/>
              </w:rPr>
              <w:t>EX:鋼瓶</w:t>
            </w:r>
          </w:p>
        </w:tc>
      </w:tr>
      <w:tr w:rsidR="000110A7" w:rsidRPr="00B300E8" w14:paraId="714D8C67" w14:textId="77777777" w:rsidTr="00806B81">
        <w:trPr>
          <w:cantSplit/>
          <w:trHeight w:val="1040"/>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7C8754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04912D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8117B" w14:textId="77777777" w:rsidR="00F80346" w:rsidRPr="00F80346" w:rsidRDefault="00F80346" w:rsidP="00F80346">
            <w:pPr>
              <w:suppressAutoHyphens/>
              <w:autoSpaceDN w:val="0"/>
              <w:spacing w:line="276" w:lineRule="auto"/>
              <w:jc w:val="both"/>
              <w:textAlignment w:val="baseline"/>
              <w:rPr>
                <w:rFonts w:ascii="標楷體" w:eastAsia="標楷體" w:hAnsi="標楷體" w:cs="Times New Roman"/>
                <w:color w:val="FF0000"/>
                <w:sz w:val="22"/>
              </w:rPr>
            </w:pPr>
            <w:r w:rsidRPr="00F80346">
              <w:rPr>
                <w:rFonts w:ascii="標楷體" w:eastAsia="標楷體" w:hAnsi="標楷體" w:cs="Times New Roman" w:hint="eastAsia"/>
                <w:color w:val="FF0000"/>
                <w:sz w:val="22"/>
              </w:rPr>
              <w:t>19-2</w:t>
            </w:r>
          </w:p>
          <w:p w14:paraId="7E63C1D3" w14:textId="5D3E0F91" w:rsidR="000110A7" w:rsidRPr="00F80346" w:rsidRDefault="000110A7" w:rsidP="00F80346">
            <w:pPr>
              <w:suppressAutoHyphens/>
              <w:autoSpaceDN w:val="0"/>
              <w:spacing w:line="276" w:lineRule="auto"/>
              <w:jc w:val="both"/>
              <w:textAlignment w:val="baseline"/>
              <w:rPr>
                <w:rFonts w:ascii="標楷體" w:eastAsia="標楷體" w:hAnsi="標楷體" w:cs="Times New Roman"/>
                <w:sz w:val="22"/>
              </w:rPr>
            </w:pPr>
            <w:r w:rsidRPr="00F80346">
              <w:rPr>
                <w:rFonts w:ascii="標楷體" w:eastAsia="標楷體" w:hAnsi="標楷體" w:cs="Times New Roman"/>
                <w:sz w:val="22"/>
              </w:rPr>
              <w:t>雇主使用軟管以動力從事輸送硫酸、硝酸、鹽酸、醋酸、甲酚、氯</w:t>
            </w:r>
            <w:proofErr w:type="gramStart"/>
            <w:r w:rsidRPr="00F80346">
              <w:rPr>
                <w:rFonts w:ascii="標楷體" w:eastAsia="標楷體" w:hAnsi="標楷體" w:cs="Times New Roman"/>
                <w:sz w:val="22"/>
              </w:rPr>
              <w:t>磺</w:t>
            </w:r>
            <w:proofErr w:type="gramEnd"/>
            <w:r w:rsidRPr="00F80346">
              <w:rPr>
                <w:rFonts w:ascii="標楷體" w:eastAsia="標楷體" w:hAnsi="標楷體" w:cs="Times New Roman"/>
                <w:sz w:val="22"/>
              </w:rPr>
              <w:t>酸、氫氧化鈉溶液等對皮膚有腐蝕性之液體時，輸送腐蝕性物質管線，應標示該物質之名稱、輸送方向</w:t>
            </w:r>
            <w:proofErr w:type="gramStart"/>
            <w:r w:rsidRPr="00F80346">
              <w:rPr>
                <w:rFonts w:ascii="標楷體" w:eastAsia="標楷體" w:hAnsi="標楷體" w:cs="Times New Roman"/>
                <w:sz w:val="22"/>
              </w:rPr>
              <w:t>及閥之開</w:t>
            </w:r>
            <w:proofErr w:type="gramEnd"/>
            <w:r w:rsidRPr="00F80346">
              <w:rPr>
                <w:rFonts w:ascii="標楷體" w:eastAsia="標楷體" w:hAnsi="標楷體" w:cs="Times New Roman"/>
                <w:sz w:val="22"/>
              </w:rPr>
              <w:t>閉狀態。(設施規則178)</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BD0D" w14:textId="77777777" w:rsidR="000110A7" w:rsidRPr="0034453B"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4903C" w14:textId="77777777" w:rsidR="000110A7" w:rsidRPr="0034453B"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E38F2" w14:textId="77777777" w:rsidR="000110A7" w:rsidRPr="00FE254D" w:rsidRDefault="000110A7" w:rsidP="00806B81">
            <w:pPr>
              <w:pStyle w:val="Standard"/>
              <w:spacing w:line="276" w:lineRule="auto"/>
              <w:jc w:val="center"/>
              <w:rPr>
                <w:rFonts w:ascii="Times New Roman" w:eastAsia="標楷體" w:hAnsi="Times New Roman" w:cs="Times New Roman"/>
                <w:szCs w:val="24"/>
              </w:rPr>
            </w:pPr>
            <w:r w:rsidRPr="00FE254D">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4014F56" w14:textId="77777777" w:rsidR="000110A7" w:rsidRPr="0034453B" w:rsidRDefault="000110A7" w:rsidP="00806B81">
            <w:pPr>
              <w:pStyle w:val="Standard"/>
              <w:rPr>
                <w:rFonts w:ascii="標楷體" w:eastAsia="標楷體" w:hAnsi="標楷體" w:cs="Times New Roman"/>
                <w:sz w:val="22"/>
              </w:rPr>
            </w:pPr>
            <w:r w:rsidRPr="0034453B">
              <w:rPr>
                <w:rFonts w:ascii="標楷體" w:eastAsia="標楷體" w:hAnsi="標楷體" w:cs="Times New Roman" w:hint="eastAsia"/>
                <w:color w:val="FF0000"/>
                <w:sz w:val="22"/>
              </w:rPr>
              <w:t>無使用軟管動力輸送</w:t>
            </w:r>
            <w:r w:rsidRPr="0034453B">
              <w:rPr>
                <w:rFonts w:ascii="標楷體" w:eastAsia="標楷體" w:hAnsi="標楷體" w:cs="Times New Roman"/>
                <w:color w:val="FF0000"/>
                <w:sz w:val="22"/>
              </w:rPr>
              <w:t>腐蝕性之液體</w:t>
            </w:r>
          </w:p>
        </w:tc>
      </w:tr>
      <w:tr w:rsidR="000110A7" w:rsidRPr="00B300E8" w14:paraId="7FDDEFA3" w14:textId="77777777" w:rsidTr="00806B81">
        <w:trPr>
          <w:cantSplit/>
          <w:trHeight w:val="130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47104D6B"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776E16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CE2DB34"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19-3</w:t>
            </w:r>
          </w:p>
          <w:p w14:paraId="06B21CF7" w14:textId="14946B3E"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w:t>
            </w:r>
            <w:r w:rsidRPr="00172F6B">
              <w:rPr>
                <w:rFonts w:ascii="Times New Roman" w:eastAsia="標楷體" w:hAnsi="Times New Roman" w:cs="Times New Roman"/>
                <w:color w:val="FF0000"/>
                <w:sz w:val="22"/>
                <w:u w:val="single"/>
              </w:rPr>
              <w:t>化學設備或其配管</w:t>
            </w:r>
            <w:r w:rsidRPr="00F80346">
              <w:rPr>
                <w:rFonts w:ascii="Times New Roman" w:eastAsia="標楷體" w:hAnsi="Times New Roman" w:cs="Times New Roman"/>
                <w:sz w:val="22"/>
              </w:rPr>
              <w:t>，為防止危險物洩漏或操作錯誤而引起爆炸、火災之危險，應依下列規定辦理：</w:t>
            </w:r>
            <w:r w:rsidRPr="00F80346">
              <w:rPr>
                <w:rFonts w:ascii="Times New Roman" w:eastAsia="標楷體" w:hAnsi="Times New Roman" w:cs="Times New Roman"/>
                <w:sz w:val="22"/>
              </w:rPr>
              <w:t>(</w:t>
            </w:r>
            <w:r w:rsidRPr="00F80346">
              <w:rPr>
                <w:rFonts w:ascii="Times New Roman" w:eastAsia="標楷體" w:hAnsi="Times New Roman" w:cs="Times New Roman"/>
                <w:sz w:val="22"/>
              </w:rPr>
              <w:t>設施規則</w:t>
            </w:r>
            <w:r w:rsidRPr="00F80346">
              <w:rPr>
                <w:rFonts w:ascii="Times New Roman" w:eastAsia="標楷體" w:hAnsi="Times New Roman" w:cs="Times New Roman"/>
                <w:sz w:val="22"/>
              </w:rPr>
              <w:t>196)</w:t>
            </w:r>
          </w:p>
          <w:p w14:paraId="7A0DDC76"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一、化學設備或其配管之蓋板、</w:t>
            </w:r>
            <w:proofErr w:type="gramStart"/>
            <w:r w:rsidRPr="00B300E8">
              <w:rPr>
                <w:rFonts w:ascii="Times New Roman" w:eastAsia="標楷體" w:hAnsi="Times New Roman" w:cs="Times New Roman"/>
                <w:sz w:val="22"/>
              </w:rPr>
              <w:t>凸</w:t>
            </w:r>
            <w:proofErr w:type="gramEnd"/>
            <w:r w:rsidRPr="00B300E8">
              <w:rPr>
                <w:rFonts w:ascii="Times New Roman" w:eastAsia="標楷體" w:hAnsi="Times New Roman" w:cs="Times New Roman"/>
                <w:sz w:val="22"/>
              </w:rPr>
              <w:t>緣、閥、</w:t>
            </w:r>
            <w:proofErr w:type="gramStart"/>
            <w:r w:rsidRPr="00B300E8">
              <w:rPr>
                <w:rFonts w:ascii="Times New Roman" w:eastAsia="標楷體" w:hAnsi="Times New Roman" w:cs="Times New Roman"/>
                <w:sz w:val="22"/>
              </w:rPr>
              <w:t>旋塞</w:t>
            </w:r>
            <w:proofErr w:type="gramEnd"/>
            <w:r w:rsidRPr="00B300E8">
              <w:rPr>
                <w:rFonts w:ascii="Times New Roman" w:eastAsia="標楷體" w:hAnsi="Times New Roman" w:cs="Times New Roman"/>
                <w:sz w:val="22"/>
              </w:rPr>
              <w:t>等接合部分，應使用墊圈等使接合部密接。</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0CF859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443D85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9CEE16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0A97443" w14:textId="77777777" w:rsidR="000110A7" w:rsidRPr="00B300E8" w:rsidRDefault="000110A7" w:rsidP="00806B81">
            <w:pPr>
              <w:pStyle w:val="Standard"/>
              <w:rPr>
                <w:rFonts w:ascii="Times New Roman" w:hAnsi="Times New Roman" w:cs="Times New Roman"/>
              </w:rPr>
            </w:pPr>
          </w:p>
        </w:tc>
      </w:tr>
      <w:tr w:rsidR="000110A7" w:rsidRPr="00B300E8" w14:paraId="01BEC53A" w14:textId="77777777" w:rsidTr="00806B81">
        <w:trPr>
          <w:cantSplit/>
          <w:trHeight w:val="130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03F38B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470834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B69F63E"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二、操作化學設備或其配管</w:t>
            </w:r>
            <w:proofErr w:type="gramStart"/>
            <w:r w:rsidRPr="00B300E8">
              <w:rPr>
                <w:rFonts w:ascii="Times New Roman" w:eastAsia="標楷體" w:hAnsi="Times New Roman" w:cs="Times New Roman"/>
                <w:sz w:val="22"/>
              </w:rPr>
              <w:t>之閥、旋塞</w:t>
            </w:r>
            <w:proofErr w:type="gramEnd"/>
            <w:r w:rsidRPr="00B300E8">
              <w:rPr>
                <w:rFonts w:ascii="Times New Roman" w:eastAsia="標楷體" w:hAnsi="Times New Roman" w:cs="Times New Roman"/>
                <w:sz w:val="22"/>
              </w:rPr>
              <w:t>、控制開關、按鈕等，應保持良好性能，標示其開關方向，必要時並以顏色、形狀等標明其使用狀態。</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B18857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6C5FE1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B10DE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76DFE39" w14:textId="77777777" w:rsidR="000110A7" w:rsidRPr="00B300E8" w:rsidRDefault="000110A7" w:rsidP="00806B81">
            <w:pPr>
              <w:pStyle w:val="Standard"/>
              <w:rPr>
                <w:rFonts w:ascii="Times New Roman" w:hAnsi="Times New Roman" w:cs="Times New Roman"/>
              </w:rPr>
            </w:pPr>
          </w:p>
        </w:tc>
      </w:tr>
      <w:tr w:rsidR="000110A7" w:rsidRPr="00B300E8" w14:paraId="5957F2C6" w14:textId="77777777" w:rsidTr="00806B81">
        <w:trPr>
          <w:cantSplit/>
          <w:trHeight w:val="889"/>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EA0E07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CD111E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8F87"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三、為防止供料錯誤，造成危險，應於勞工易見之位置標示其原料、材料、種類、供料對象及其他必要事項。</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9D6A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CAFB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ED52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BE41DCC" w14:textId="77777777" w:rsidR="000110A7" w:rsidRPr="00B300E8" w:rsidRDefault="000110A7" w:rsidP="00806B81">
            <w:pPr>
              <w:pStyle w:val="Standard"/>
              <w:rPr>
                <w:rFonts w:ascii="Times New Roman" w:hAnsi="Times New Roman" w:cs="Times New Roman"/>
              </w:rPr>
            </w:pPr>
          </w:p>
        </w:tc>
      </w:tr>
      <w:tr w:rsidR="000110A7" w:rsidRPr="00B300E8" w14:paraId="17B25073" w14:textId="77777777" w:rsidTr="00806B81">
        <w:trPr>
          <w:cantSplit/>
          <w:trHeight w:val="130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E0983B4"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E0E47D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E12BED3"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19-4</w:t>
            </w:r>
          </w:p>
          <w:p w14:paraId="34E6C678" w14:textId="166865B6"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雇主對於有害氣體、蒸氣、粉塵等作業場所，應依下列規定辦理：</w:t>
            </w:r>
            <w:r w:rsidRPr="00F80346">
              <w:rPr>
                <w:rFonts w:ascii="Times New Roman" w:eastAsia="標楷體" w:hAnsi="Times New Roman" w:cs="Times New Roman"/>
                <w:sz w:val="22"/>
              </w:rPr>
              <w:t>(</w:t>
            </w:r>
            <w:r w:rsidRPr="00F80346">
              <w:rPr>
                <w:rFonts w:ascii="Times New Roman" w:eastAsia="標楷體" w:hAnsi="Times New Roman" w:cs="Times New Roman"/>
                <w:sz w:val="22"/>
              </w:rPr>
              <w:t>設施規則</w:t>
            </w:r>
            <w:r w:rsidRPr="00F80346">
              <w:rPr>
                <w:rFonts w:ascii="Times New Roman" w:eastAsia="標楷體" w:hAnsi="Times New Roman" w:cs="Times New Roman"/>
                <w:sz w:val="22"/>
              </w:rPr>
              <w:t>292)</w:t>
            </w:r>
          </w:p>
          <w:p w14:paraId="1458A876"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一、工作場所內發散有害氣體、蒸氣、粉塵時，應視其性質，採取密閉設備、局部排氣裝置、整體換氣裝置或以其他方法導入新鮮空氣等適當措施，使其不超過勞工作業場所容許暴露標準之規定。勞工有發生中毒之虞者，應停止作業並採取緊急措施。</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843798E" w14:textId="67BBDEF1" w:rsidR="000110A7" w:rsidRPr="00B300E8" w:rsidRDefault="00CE134F"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F9B096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9C3FBC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638A232" w14:textId="543AC65E" w:rsidR="000110A7" w:rsidRDefault="001803FC" w:rsidP="00806B81">
            <w:pPr>
              <w:pStyle w:val="Standard"/>
              <w:rPr>
                <w:rFonts w:ascii="標楷體" w:eastAsia="標楷體" w:hAnsi="標楷體" w:cs="Times New Roman"/>
                <w:color w:val="FF0000"/>
                <w:sz w:val="22"/>
              </w:rPr>
            </w:pPr>
            <w:r w:rsidRPr="001803FC">
              <w:rPr>
                <w:rFonts w:ascii="標楷體" w:eastAsia="標楷體" w:hAnsi="標楷體" w:cs="Times New Roman" w:hint="eastAsia"/>
                <w:color w:val="FF0000"/>
                <w:sz w:val="22"/>
              </w:rPr>
              <w:t>113年實施危害化學品定量及半定量評估</w:t>
            </w:r>
            <w:r w:rsidR="0084045B">
              <w:rPr>
                <w:rFonts w:ascii="標楷體" w:eastAsia="標楷體" w:hAnsi="標楷體" w:cs="Times New Roman" w:hint="eastAsia"/>
                <w:color w:val="FF0000"/>
                <w:sz w:val="22"/>
              </w:rPr>
              <w:t>，定量評估評為二三級之化學品</w:t>
            </w:r>
            <w:r w:rsidR="00E663E7">
              <w:rPr>
                <w:rFonts w:ascii="標楷體" w:eastAsia="標楷體" w:hAnsi="標楷體" w:cs="Times New Roman" w:hint="eastAsia"/>
                <w:color w:val="FF0000"/>
                <w:sz w:val="22"/>
              </w:rPr>
              <w:t>須注意於局部排氣下作業及配戴呼吸防護具</w:t>
            </w:r>
          </w:p>
          <w:p w14:paraId="7B5AAB04" w14:textId="77777777" w:rsidR="007A3CD5" w:rsidRDefault="007A3CD5" w:rsidP="00806B81">
            <w:pPr>
              <w:pStyle w:val="Standard"/>
              <w:rPr>
                <w:rFonts w:ascii="標楷體" w:eastAsia="標楷體" w:hAnsi="標楷體" w:cs="Times New Roman"/>
                <w:sz w:val="22"/>
              </w:rPr>
            </w:pPr>
          </w:p>
          <w:p w14:paraId="4FD7BDD5" w14:textId="77777777" w:rsidR="007A3CD5" w:rsidRDefault="007A3CD5" w:rsidP="00806B81">
            <w:pPr>
              <w:pStyle w:val="Standard"/>
              <w:rPr>
                <w:rFonts w:ascii="標楷體" w:eastAsia="標楷體" w:hAnsi="標楷體" w:cs="Times New Roman"/>
                <w:sz w:val="22"/>
              </w:rPr>
            </w:pPr>
          </w:p>
          <w:p w14:paraId="1D06E38A" w14:textId="77777777" w:rsidR="007A3CD5" w:rsidRDefault="007A3CD5" w:rsidP="00806B81">
            <w:pPr>
              <w:pStyle w:val="Standard"/>
              <w:rPr>
                <w:rFonts w:ascii="標楷體" w:eastAsia="標楷體" w:hAnsi="標楷體" w:cs="Times New Roman"/>
                <w:sz w:val="22"/>
              </w:rPr>
            </w:pPr>
          </w:p>
          <w:p w14:paraId="29C33229" w14:textId="77777777" w:rsidR="007A3CD5" w:rsidRDefault="007A3CD5" w:rsidP="00806B81">
            <w:pPr>
              <w:pStyle w:val="Standard"/>
              <w:rPr>
                <w:rFonts w:ascii="標楷體" w:eastAsia="標楷體" w:hAnsi="標楷體" w:cs="Times New Roman"/>
                <w:sz w:val="22"/>
              </w:rPr>
            </w:pPr>
          </w:p>
          <w:p w14:paraId="765CEC90" w14:textId="77777777" w:rsidR="007A3CD5" w:rsidRDefault="007A3CD5" w:rsidP="00806B81">
            <w:pPr>
              <w:pStyle w:val="Standard"/>
              <w:rPr>
                <w:rFonts w:ascii="標楷體" w:eastAsia="標楷體" w:hAnsi="標楷體" w:cs="Times New Roman"/>
                <w:sz w:val="22"/>
              </w:rPr>
            </w:pPr>
          </w:p>
          <w:p w14:paraId="32C8ED15" w14:textId="77777777" w:rsidR="007A3CD5" w:rsidRDefault="007A3CD5" w:rsidP="00806B81">
            <w:pPr>
              <w:pStyle w:val="Standard"/>
              <w:rPr>
                <w:rFonts w:ascii="標楷體" w:eastAsia="標楷體" w:hAnsi="標楷體" w:cs="Times New Roman"/>
                <w:sz w:val="22"/>
              </w:rPr>
            </w:pPr>
          </w:p>
          <w:p w14:paraId="57A93A9A" w14:textId="77777777" w:rsidR="007A3CD5" w:rsidRDefault="007A3CD5" w:rsidP="00806B81">
            <w:pPr>
              <w:pStyle w:val="Standard"/>
              <w:rPr>
                <w:rFonts w:ascii="標楷體" w:eastAsia="標楷體" w:hAnsi="標楷體" w:cs="Times New Roman"/>
                <w:sz w:val="22"/>
              </w:rPr>
            </w:pPr>
          </w:p>
          <w:p w14:paraId="5A2FC47C" w14:textId="77777777" w:rsidR="007A3CD5" w:rsidRDefault="007A3CD5" w:rsidP="00806B81">
            <w:pPr>
              <w:pStyle w:val="Standard"/>
              <w:rPr>
                <w:rFonts w:ascii="標楷體" w:eastAsia="標楷體" w:hAnsi="標楷體" w:cs="Times New Roman"/>
                <w:sz w:val="22"/>
              </w:rPr>
            </w:pPr>
          </w:p>
          <w:p w14:paraId="739D9C88" w14:textId="77777777" w:rsidR="007A3CD5" w:rsidRDefault="007A3CD5" w:rsidP="00806B81">
            <w:pPr>
              <w:pStyle w:val="Standard"/>
              <w:rPr>
                <w:rFonts w:ascii="標楷體" w:eastAsia="標楷體" w:hAnsi="標楷體" w:cs="Times New Roman"/>
                <w:sz w:val="22"/>
              </w:rPr>
            </w:pPr>
          </w:p>
          <w:p w14:paraId="6A6C531B" w14:textId="77777777" w:rsidR="007A3CD5" w:rsidRDefault="007A3CD5" w:rsidP="00806B81">
            <w:pPr>
              <w:pStyle w:val="Standard"/>
              <w:rPr>
                <w:rFonts w:ascii="標楷體" w:eastAsia="標楷體" w:hAnsi="標楷體" w:cs="Times New Roman"/>
                <w:sz w:val="22"/>
              </w:rPr>
            </w:pPr>
          </w:p>
          <w:p w14:paraId="2E9EA87B" w14:textId="6DF26590" w:rsidR="007A3CD5" w:rsidRPr="001803FC" w:rsidRDefault="007A3CD5" w:rsidP="00806B81">
            <w:pPr>
              <w:pStyle w:val="Standard"/>
              <w:rPr>
                <w:rFonts w:ascii="標楷體" w:eastAsia="標楷體" w:hAnsi="標楷體" w:cs="Times New Roman"/>
                <w:sz w:val="22"/>
              </w:rPr>
            </w:pPr>
            <w:r w:rsidRPr="007A3CD5">
              <w:rPr>
                <w:rFonts w:ascii="標楷體" w:eastAsia="標楷體" w:hAnsi="標楷體" w:cs="Times New Roman" w:hint="eastAsia"/>
                <w:color w:val="FF0000"/>
                <w:sz w:val="22"/>
              </w:rPr>
              <w:t>有機溶劑</w:t>
            </w:r>
            <w:r w:rsidRPr="007A3CD5">
              <w:rPr>
                <w:rFonts w:ascii="Times New Roman" w:eastAsia="標楷體" w:hAnsi="Times New Roman" w:cs="Times New Roman"/>
                <w:color w:val="FF0000"/>
                <w:sz w:val="22"/>
              </w:rPr>
              <w:t>、</w:t>
            </w:r>
            <w:r w:rsidRPr="007A3CD5">
              <w:rPr>
                <w:rFonts w:ascii="Times New Roman" w:eastAsia="標楷體" w:hAnsi="Times New Roman" w:cs="Times New Roman" w:hint="eastAsia"/>
                <w:color w:val="FF0000"/>
                <w:sz w:val="22"/>
              </w:rPr>
              <w:t>特定化學物質注意</w:t>
            </w:r>
            <w:r w:rsidRPr="00344A64">
              <w:rPr>
                <w:rFonts w:ascii="Times New Roman" w:eastAsia="標楷體" w:hAnsi="Times New Roman" w:cs="Times New Roman" w:hint="eastAsia"/>
                <w:color w:val="FF0000"/>
                <w:sz w:val="22"/>
                <w:bdr w:val="single" w:sz="4" w:space="0" w:color="auto"/>
              </w:rPr>
              <w:t>通風設備</w:t>
            </w:r>
          </w:p>
        </w:tc>
      </w:tr>
      <w:tr w:rsidR="000110A7" w:rsidRPr="00B300E8" w14:paraId="695992E6" w14:textId="77777777" w:rsidTr="00806B81">
        <w:trPr>
          <w:cantSplit/>
          <w:trHeight w:val="130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EC5167B"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9FC4A3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EB72E04"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二、勞工暴露於有害氣體、蒸氣、粉塵等之作業時，其空氣中濃度超過八小時日時量平均容許濃度、短時間時量平均容許濃度或最高容許濃度者，應改善其作業方法、縮短工作時間或採取其他保護措施。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6D1EBB" w14:textId="713A6183" w:rsidR="000110A7" w:rsidRPr="00B300E8" w:rsidRDefault="00CE134F"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940A62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033052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05A757A" w14:textId="77777777" w:rsidR="000110A7" w:rsidRPr="00B300E8" w:rsidRDefault="000110A7" w:rsidP="00806B81">
            <w:pPr>
              <w:pStyle w:val="Standard"/>
              <w:rPr>
                <w:rFonts w:ascii="Times New Roman" w:hAnsi="Times New Roman" w:cs="Times New Roman"/>
              </w:rPr>
            </w:pPr>
          </w:p>
        </w:tc>
      </w:tr>
      <w:tr w:rsidR="000110A7" w:rsidRPr="00B300E8" w14:paraId="2658E052" w14:textId="77777777" w:rsidTr="00806B81">
        <w:trPr>
          <w:cantSplit/>
          <w:trHeight w:val="130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C65780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BBA11F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FE269"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三、有害物工作場所，應依有機溶劑、鉛、四烷基鉛、粉塵及特定化學物質等有害物危害預防法規之規定，設置通風設備，並使其有效運轉。</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D9A07" w14:textId="5CEFA92F" w:rsidR="000110A7" w:rsidRPr="00B300E8" w:rsidRDefault="00CE134F"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EE1D" w14:textId="7B9A2376"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D93C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C6AC01C" w14:textId="77777777" w:rsidR="000110A7" w:rsidRPr="00B300E8" w:rsidRDefault="000110A7" w:rsidP="00806B81">
            <w:pPr>
              <w:pStyle w:val="Standard"/>
              <w:rPr>
                <w:rFonts w:ascii="Times New Roman" w:hAnsi="Times New Roman" w:cs="Times New Roman"/>
              </w:rPr>
            </w:pPr>
          </w:p>
        </w:tc>
      </w:tr>
      <w:tr w:rsidR="000110A7" w:rsidRPr="00B300E8" w14:paraId="73983966" w14:textId="77777777" w:rsidTr="00806B81">
        <w:trPr>
          <w:cantSplit/>
          <w:trHeight w:val="1092"/>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AA25DDD"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1F7CA5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BD0E"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19-5</w:t>
            </w:r>
          </w:p>
          <w:p w14:paraId="1A1A4A64" w14:textId="0DF781A8"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雇主對於作業場所有易燃液體之蒸氣、可燃性氣體</w:t>
            </w:r>
            <w:proofErr w:type="gramStart"/>
            <w:r w:rsidRPr="00F80346">
              <w:rPr>
                <w:rFonts w:ascii="Times New Roman" w:eastAsia="標楷體" w:hAnsi="Times New Roman" w:cs="Times New Roman"/>
                <w:sz w:val="22"/>
              </w:rPr>
              <w:t>或爆燃性</w:t>
            </w:r>
            <w:proofErr w:type="gramEnd"/>
            <w:r w:rsidRPr="00F80346">
              <w:rPr>
                <w:rFonts w:ascii="Times New Roman" w:eastAsia="標楷體" w:hAnsi="Times New Roman" w:cs="Times New Roman"/>
                <w:sz w:val="22"/>
              </w:rPr>
              <w:t>粉塵以外之可燃性粉塵滯留，而有爆炸、火災之虞者，應依危險特性採取通風、換氣、除塵等措施。</w:t>
            </w:r>
            <w:r w:rsidRPr="00F80346">
              <w:rPr>
                <w:rFonts w:ascii="Times New Roman" w:eastAsia="標楷體" w:hAnsi="Times New Roman" w:cs="Times New Roman"/>
                <w:sz w:val="22"/>
              </w:rPr>
              <w:t>(</w:t>
            </w:r>
            <w:r w:rsidRPr="00F80346">
              <w:rPr>
                <w:rFonts w:ascii="Times New Roman" w:eastAsia="標楷體" w:hAnsi="Times New Roman" w:cs="Times New Roman"/>
                <w:sz w:val="22"/>
              </w:rPr>
              <w:t>設施規則</w:t>
            </w:r>
            <w:r w:rsidRPr="00F80346">
              <w:rPr>
                <w:rFonts w:ascii="Times New Roman" w:eastAsia="標楷體" w:hAnsi="Times New Roman" w:cs="Times New Roman"/>
                <w:sz w:val="22"/>
              </w:rPr>
              <w:t>177)</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AF8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A12B" w14:textId="69B4EC69"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6CCA8" w14:textId="5CDE7307" w:rsidR="000110A7" w:rsidRPr="00B300E8" w:rsidRDefault="00CE134F"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CE6214D" w14:textId="00F494C7" w:rsidR="000110A7" w:rsidRPr="00B300E8" w:rsidRDefault="00344A64" w:rsidP="00806B81">
            <w:pPr>
              <w:pStyle w:val="Standard"/>
              <w:rPr>
                <w:rFonts w:ascii="Times New Roman" w:hAnsi="Times New Roman" w:cs="Times New Roman"/>
              </w:rPr>
            </w:pPr>
            <w:r w:rsidRPr="0084045B">
              <w:rPr>
                <w:rFonts w:ascii="Times New Roman" w:eastAsia="標楷體" w:hAnsi="Times New Roman" w:cs="Times New Roman"/>
                <w:color w:val="FF0000"/>
                <w:sz w:val="22"/>
              </w:rPr>
              <w:t>可燃性粉塵滯留，而有爆炸、火災之虞者，採取通風、換氣、除塵等措施</w:t>
            </w:r>
            <w:r w:rsidRPr="0084045B">
              <w:rPr>
                <w:rFonts w:ascii="Times New Roman" w:eastAsia="標楷體" w:hAnsi="Times New Roman" w:cs="Times New Roman" w:hint="eastAsia"/>
                <w:color w:val="FF0000"/>
                <w:sz w:val="22"/>
              </w:rPr>
              <w:t>。</w:t>
            </w:r>
          </w:p>
        </w:tc>
      </w:tr>
      <w:tr w:rsidR="000110A7" w:rsidRPr="00B300E8" w14:paraId="0058B7EB" w14:textId="77777777" w:rsidTr="00806B81">
        <w:trPr>
          <w:cantSplit/>
          <w:trHeight w:val="1092"/>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1DEE14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E748DB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942F5A5"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19-6</w:t>
            </w:r>
          </w:p>
          <w:p w14:paraId="686CD501" w14:textId="3D1928E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雇主對於易引起火災及爆炸危險之場所</w:t>
            </w:r>
            <w:r w:rsidRPr="00F80346">
              <w:rPr>
                <w:rFonts w:ascii="Times New Roman" w:eastAsia="標楷體" w:hAnsi="Times New Roman" w:cs="Times New Roman"/>
                <w:sz w:val="22"/>
              </w:rPr>
              <w:t xml:space="preserve"> (</w:t>
            </w:r>
            <w:r w:rsidRPr="00F80346">
              <w:rPr>
                <w:rFonts w:ascii="Times New Roman" w:eastAsia="標楷體" w:hAnsi="Times New Roman" w:cs="Times New Roman"/>
                <w:sz w:val="22"/>
              </w:rPr>
              <w:t>例如：</w:t>
            </w:r>
            <w:r w:rsidRPr="00344A64">
              <w:rPr>
                <w:rFonts w:ascii="Times New Roman" w:eastAsia="標楷體" w:hAnsi="Times New Roman" w:cs="Times New Roman"/>
                <w:color w:val="FF0000"/>
                <w:sz w:val="22"/>
              </w:rPr>
              <w:t>化學品室</w:t>
            </w:r>
            <w:r w:rsidRPr="00F80346">
              <w:rPr>
                <w:rFonts w:ascii="Times New Roman" w:eastAsia="標楷體" w:hAnsi="Times New Roman" w:cs="Times New Roman"/>
                <w:sz w:val="22"/>
              </w:rPr>
              <w:t>、瓦斯儲存場、柴油儲存場等</w:t>
            </w:r>
            <w:r w:rsidRPr="00F80346">
              <w:rPr>
                <w:rFonts w:ascii="Times New Roman" w:eastAsia="標楷體" w:hAnsi="Times New Roman" w:cs="Times New Roman"/>
                <w:sz w:val="22"/>
              </w:rPr>
              <w:t>)</w:t>
            </w:r>
            <w:r w:rsidRPr="00F80346">
              <w:rPr>
                <w:rFonts w:ascii="Times New Roman" w:eastAsia="標楷體" w:hAnsi="Times New Roman" w:cs="Times New Roman"/>
                <w:sz w:val="22"/>
              </w:rPr>
              <w:t>，應依下列規定：</w:t>
            </w:r>
            <w:r w:rsidRPr="00F80346">
              <w:rPr>
                <w:rFonts w:ascii="Times New Roman" w:eastAsia="標楷體" w:hAnsi="Times New Roman" w:cs="Times New Roman"/>
                <w:sz w:val="22"/>
              </w:rPr>
              <w:t>(</w:t>
            </w:r>
            <w:r w:rsidRPr="00F80346">
              <w:rPr>
                <w:rFonts w:ascii="Times New Roman" w:eastAsia="標楷體" w:hAnsi="Times New Roman" w:cs="Times New Roman"/>
                <w:sz w:val="22"/>
              </w:rPr>
              <w:t>設施規則</w:t>
            </w:r>
            <w:r w:rsidRPr="00F80346">
              <w:rPr>
                <w:rFonts w:ascii="Times New Roman" w:eastAsia="標楷體" w:hAnsi="Times New Roman" w:cs="Times New Roman"/>
                <w:sz w:val="22"/>
              </w:rPr>
              <w:t>171)</w:t>
            </w:r>
          </w:p>
          <w:p w14:paraId="3234846B"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一、不得設置有火花、電弧或用高溫成為發火源之虞之機械、器具或設備等。</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3C8DCC8" w14:textId="078EACDA" w:rsidR="000110A7" w:rsidRPr="00B300E8" w:rsidRDefault="00C15EAB"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BCAAB50" w14:textId="05E6D0D9"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91B00E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6030F1D" w14:textId="77777777" w:rsidR="000110A7" w:rsidRPr="005276F0" w:rsidRDefault="004775CB" w:rsidP="00806B81">
            <w:pPr>
              <w:pStyle w:val="Standard"/>
              <w:rPr>
                <w:rFonts w:ascii="標楷體" w:eastAsia="標楷體" w:hAnsi="標楷體" w:cs="Times New Roman"/>
                <w:color w:val="FF0000"/>
                <w:sz w:val="22"/>
              </w:rPr>
            </w:pPr>
            <w:proofErr w:type="gramStart"/>
            <w:r w:rsidRPr="005276F0">
              <w:rPr>
                <w:rFonts w:ascii="標楷體" w:eastAsia="標楷體" w:hAnsi="標楷體" w:cs="Times New Roman"/>
                <w:color w:val="FF0000"/>
                <w:sz w:val="22"/>
                <w:bdr w:val="single" w:sz="4" w:space="0" w:color="auto"/>
              </w:rPr>
              <w:t>化學品室</w:t>
            </w:r>
            <w:r w:rsidRPr="005276F0">
              <w:rPr>
                <w:rFonts w:ascii="標楷體" w:eastAsia="標楷體" w:hAnsi="標楷體" w:cs="Times New Roman" w:hint="eastAsia"/>
                <w:color w:val="FF0000"/>
                <w:sz w:val="22"/>
              </w:rPr>
              <w:t>需標示</w:t>
            </w:r>
            <w:proofErr w:type="gramEnd"/>
            <w:r w:rsidRPr="005276F0">
              <w:rPr>
                <w:rFonts w:ascii="標楷體" w:eastAsia="標楷體" w:hAnsi="標楷體" w:cs="Times New Roman"/>
                <w:color w:val="FF0000"/>
                <w:sz w:val="22"/>
              </w:rPr>
              <w:t>嚴禁煙火及禁止無關人員進入</w:t>
            </w:r>
          </w:p>
          <w:p w14:paraId="7BFEFDBA" w14:textId="12255E3F" w:rsidR="00344A64" w:rsidRPr="00B300E8" w:rsidRDefault="00344A64" w:rsidP="00806B81">
            <w:pPr>
              <w:pStyle w:val="Standard"/>
              <w:rPr>
                <w:rFonts w:ascii="Times New Roman" w:hAnsi="Times New Roman" w:cs="Times New Roman"/>
              </w:rPr>
            </w:pPr>
            <w:r w:rsidRPr="005276F0">
              <w:rPr>
                <w:rFonts w:ascii="標楷體" w:eastAsia="標楷體" w:hAnsi="標楷體" w:cs="Times New Roman" w:hint="eastAsia"/>
                <w:color w:val="FF0000"/>
                <w:sz w:val="22"/>
              </w:rPr>
              <w:t xml:space="preserve">EX: </w:t>
            </w:r>
            <w:r>
              <w:rPr>
                <w:rFonts w:ascii="Times New Roman" w:hAnsi="Times New Roman" w:cs="Times New Roman" w:hint="eastAsia"/>
                <w:noProof/>
              </w:rPr>
              <w:drawing>
                <wp:inline distT="0" distB="0" distL="0" distR="0" wp14:anchorId="4D3F2722" wp14:editId="54F9A9B5">
                  <wp:extent cx="1192881" cy="1562669"/>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化學品室嚴禁煙火及禁止無關人員進入標示.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03" cy="1627018"/>
                          </a:xfrm>
                          <a:prstGeom prst="rect">
                            <a:avLst/>
                          </a:prstGeom>
                        </pic:spPr>
                      </pic:pic>
                    </a:graphicData>
                  </a:graphic>
                </wp:inline>
              </w:drawing>
            </w:r>
          </w:p>
        </w:tc>
      </w:tr>
      <w:tr w:rsidR="000110A7" w:rsidRPr="00B300E8" w14:paraId="4F49A852" w14:textId="77777777" w:rsidTr="00806B81">
        <w:trPr>
          <w:cantSplit/>
          <w:trHeight w:val="37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669462D9"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5A10CA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03C03"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二、標示嚴禁煙火及禁止無關人員進入，並規定勞工不得使用明火。</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B1FE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3881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94D9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31CB1B" w14:textId="77777777" w:rsidR="000110A7" w:rsidRPr="00B300E8" w:rsidRDefault="000110A7" w:rsidP="00806B81">
            <w:pPr>
              <w:pStyle w:val="Standard"/>
              <w:rPr>
                <w:rFonts w:ascii="Times New Roman" w:hAnsi="Times New Roman" w:cs="Times New Roman"/>
              </w:rPr>
            </w:pPr>
          </w:p>
        </w:tc>
      </w:tr>
      <w:tr w:rsidR="000110A7" w:rsidRPr="00B300E8" w14:paraId="018A6D08" w14:textId="77777777" w:rsidTr="00806B81">
        <w:trPr>
          <w:cantSplit/>
          <w:trHeight w:val="1092"/>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7CB1FA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689A5D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7356E8F"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19-7</w:t>
            </w:r>
          </w:p>
          <w:p w14:paraId="09AC7CC8" w14:textId="1EFF6794"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hint="eastAsia"/>
                <w:sz w:val="22"/>
              </w:rPr>
              <w:t>雇主使用於儲存高壓氣體之容器，不論盛裝或空容器，應依下列規定辦理：</w:t>
            </w:r>
            <w:r w:rsidRPr="00F80346">
              <w:rPr>
                <w:rFonts w:ascii="Times New Roman" w:eastAsia="標楷體" w:hAnsi="Times New Roman" w:cs="Times New Roman" w:hint="eastAsia"/>
                <w:sz w:val="22"/>
              </w:rPr>
              <w:t>(</w:t>
            </w:r>
            <w:r w:rsidRPr="00F80346">
              <w:rPr>
                <w:rFonts w:ascii="Times New Roman" w:eastAsia="標楷體" w:hAnsi="Times New Roman" w:cs="Times New Roman" w:hint="eastAsia"/>
                <w:sz w:val="22"/>
              </w:rPr>
              <w:t>設施規則</w:t>
            </w:r>
            <w:r w:rsidRPr="00F80346">
              <w:rPr>
                <w:rFonts w:ascii="Times New Roman" w:eastAsia="標楷體" w:hAnsi="Times New Roman" w:cs="Times New Roman" w:hint="eastAsia"/>
                <w:sz w:val="22"/>
              </w:rPr>
              <w:t xml:space="preserve"> 106)</w:t>
            </w:r>
          </w:p>
          <w:p w14:paraId="393BBD4E"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確知容器之用途無誤者，方得使用。</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3DA191A" w14:textId="735F06DE" w:rsidR="000110A7" w:rsidRPr="00B300E8" w:rsidRDefault="00680EB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101C40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BCA024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C675611" w14:textId="77777777" w:rsidR="000110A7" w:rsidRDefault="000110A7" w:rsidP="00806B81">
            <w:pPr>
              <w:pStyle w:val="Standard"/>
              <w:rPr>
                <w:rFonts w:ascii="標楷體" w:eastAsia="標楷體" w:hAnsi="標楷體" w:cs="Times New Roman"/>
                <w:color w:val="FF0000"/>
                <w:sz w:val="22"/>
              </w:rPr>
            </w:pPr>
            <w:r w:rsidRPr="00D00799">
              <w:rPr>
                <w:rFonts w:ascii="標楷體" w:eastAsia="標楷體" w:hAnsi="標楷體" w:cs="Times New Roman" w:hint="eastAsia"/>
                <w:color w:val="FF0000"/>
                <w:sz w:val="22"/>
              </w:rPr>
              <w:t>注意事項張貼於</w:t>
            </w:r>
            <w:r w:rsidRPr="00C42145">
              <w:rPr>
                <w:rFonts w:ascii="標楷體" w:eastAsia="標楷體" w:hAnsi="標楷體" w:cs="Times New Roman" w:hint="eastAsia"/>
                <w:color w:val="FF0000"/>
                <w:sz w:val="22"/>
                <w:bdr w:val="single" w:sz="4" w:space="0" w:color="auto"/>
              </w:rPr>
              <w:t>鋼瓶區</w:t>
            </w:r>
            <w:r w:rsidRPr="00D00799">
              <w:rPr>
                <w:rFonts w:ascii="標楷體" w:eastAsia="標楷體" w:hAnsi="標楷體" w:cs="Times New Roman" w:hint="eastAsia"/>
                <w:color w:val="FF0000"/>
                <w:sz w:val="22"/>
              </w:rPr>
              <w:t>並實施自動檢查</w:t>
            </w:r>
          </w:p>
          <w:p w14:paraId="6FC55CEA" w14:textId="28C4B5F5" w:rsidR="00344A64" w:rsidRPr="00D00799" w:rsidRDefault="00344A64" w:rsidP="00806B81">
            <w:pPr>
              <w:pStyle w:val="Standard"/>
              <w:rPr>
                <w:rFonts w:ascii="標楷體" w:eastAsia="標楷體" w:hAnsi="標楷體" w:cs="Times New Roman"/>
                <w:color w:val="FF0000"/>
                <w:sz w:val="22"/>
              </w:rPr>
            </w:pPr>
            <w:r>
              <w:rPr>
                <w:rFonts w:ascii="標楷體" w:eastAsia="標楷體" w:hAnsi="標楷體" w:cs="Times New Roman" w:hint="eastAsia"/>
                <w:color w:val="FF0000"/>
                <w:sz w:val="22"/>
              </w:rPr>
              <w:t>EX:</w:t>
            </w:r>
            <w:r>
              <w:rPr>
                <w:rFonts w:ascii="標楷體" w:eastAsia="標楷體" w:hAnsi="標楷體" w:cs="Times New Roman" w:hint="eastAsia"/>
                <w:noProof/>
                <w:color w:val="FF0000"/>
                <w:sz w:val="22"/>
              </w:rPr>
              <w:drawing>
                <wp:inline distT="0" distB="0" distL="0" distR="0" wp14:anchorId="33CF43DC" wp14:editId="4ECCBC7E">
                  <wp:extent cx="1260709" cy="1783294"/>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鋼瓶使用注意事項.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660" cy="1791712"/>
                          </a:xfrm>
                          <a:prstGeom prst="rect">
                            <a:avLst/>
                          </a:prstGeom>
                        </pic:spPr>
                      </pic:pic>
                    </a:graphicData>
                  </a:graphic>
                </wp:inline>
              </w:drawing>
            </w:r>
          </w:p>
        </w:tc>
      </w:tr>
      <w:tr w:rsidR="000110A7" w:rsidRPr="00B300E8" w14:paraId="56A728DD" w14:textId="77777777" w:rsidTr="00806B81">
        <w:trPr>
          <w:cantSplit/>
          <w:trHeight w:val="430"/>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6856E4D"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7E541C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118A736"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容器應標明所裝氣體之品名，不得任意灌裝</w:t>
            </w:r>
            <w:proofErr w:type="gramStart"/>
            <w:r w:rsidRPr="00B300E8">
              <w:rPr>
                <w:rFonts w:ascii="Times New Roman" w:eastAsia="標楷體" w:hAnsi="Times New Roman" w:cs="Times New Roman" w:hint="eastAsia"/>
                <w:sz w:val="22"/>
              </w:rPr>
              <w:t>或轉裝</w:t>
            </w:r>
            <w:proofErr w:type="gramEnd"/>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9D3A67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7A734E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4A612F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23216F3"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330A96D8" w14:textId="77777777" w:rsidTr="00806B81">
        <w:trPr>
          <w:cantSplit/>
          <w:trHeight w:val="40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65D79627"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AA84E4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5CFDA27"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容器外表顏色，不得擅自變更或擦掉。</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1F0D44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F0C4D8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6082F6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730F750E"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049D768F" w14:textId="77777777" w:rsidTr="00806B81">
        <w:trPr>
          <w:cantSplit/>
          <w:trHeight w:val="401"/>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849A094"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BA22BD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77A0F9D"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容器使用時應加固定。</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0B5A86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0AD50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E9C5F29"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FFBA95F"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6639D4F6" w14:textId="77777777" w:rsidTr="00806B81">
        <w:trPr>
          <w:cantSplit/>
          <w:trHeight w:val="406"/>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7DA05A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2175F8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5B8E763"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容器搬動不得粗</w:t>
            </w:r>
            <w:proofErr w:type="gramStart"/>
            <w:r w:rsidRPr="00B300E8">
              <w:rPr>
                <w:rFonts w:ascii="Times New Roman" w:eastAsia="標楷體" w:hAnsi="Times New Roman" w:cs="Times New Roman" w:hint="eastAsia"/>
                <w:sz w:val="22"/>
              </w:rPr>
              <w:t>莽</w:t>
            </w:r>
            <w:proofErr w:type="gramEnd"/>
            <w:r w:rsidRPr="00B300E8">
              <w:rPr>
                <w:rFonts w:ascii="Times New Roman" w:eastAsia="標楷體" w:hAnsi="Times New Roman" w:cs="Times New Roman" w:hint="eastAsia"/>
                <w:sz w:val="22"/>
              </w:rPr>
              <w:t>或使之衝擊。</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191619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158855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BFF2A2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700D6B6"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66EA15DC" w14:textId="77777777" w:rsidTr="00806B81">
        <w:trPr>
          <w:cantSplit/>
          <w:trHeight w:val="3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3ABE132"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3EB105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BDF610D"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焊接時不得在容器上試焊。</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39B226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185002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662929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E9E387F"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57458019" w14:textId="77777777" w:rsidTr="00806B81">
        <w:trPr>
          <w:cantSplit/>
          <w:trHeight w:val="454"/>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D557BD4"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37C44D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AABC0" w14:textId="77777777" w:rsidR="000110A7" w:rsidRPr="00B300E8" w:rsidRDefault="000110A7" w:rsidP="00806B81">
            <w:pPr>
              <w:pStyle w:val="a3"/>
              <w:numPr>
                <w:ilvl w:val="0"/>
                <w:numId w:val="90"/>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容器應妥善管理、整理。</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BB9F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9408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073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6877FFA"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203DBD1E" w14:textId="77777777" w:rsidTr="00806B81">
        <w:trPr>
          <w:cantSplit/>
          <w:trHeight w:val="935"/>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050169A"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B7FCB6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1892719"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19-8</w:t>
            </w:r>
          </w:p>
          <w:p w14:paraId="30AB8790" w14:textId="5B27663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雇主對於高壓氣體之貯存，應依下列規定辦理：</w:t>
            </w:r>
            <w:r w:rsidRPr="00F80346">
              <w:rPr>
                <w:rFonts w:ascii="Times New Roman" w:eastAsia="標楷體" w:hAnsi="Times New Roman" w:cs="Times New Roman"/>
                <w:sz w:val="22"/>
              </w:rPr>
              <w:t>(</w:t>
            </w:r>
            <w:r w:rsidRPr="00F80346">
              <w:rPr>
                <w:rFonts w:ascii="Times New Roman" w:eastAsia="標楷體" w:hAnsi="Times New Roman" w:cs="Times New Roman"/>
                <w:sz w:val="22"/>
              </w:rPr>
              <w:t>設施規則</w:t>
            </w:r>
            <w:r w:rsidRPr="00F80346">
              <w:rPr>
                <w:rFonts w:ascii="Times New Roman" w:eastAsia="標楷體" w:hAnsi="Times New Roman" w:cs="Times New Roman"/>
                <w:sz w:val="22"/>
              </w:rPr>
              <w:t>108)</w:t>
            </w:r>
          </w:p>
          <w:p w14:paraId="3F7C61ED"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一、貯存場所應有適當之警戒標示，禁止煙火接近。</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1C586EF"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r w:rsidRPr="00680EB4">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1D63D64"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2FDF282"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34D1C26" w14:textId="77777777" w:rsidR="000110A7" w:rsidRPr="00D00799" w:rsidRDefault="000110A7" w:rsidP="00806B81">
            <w:pPr>
              <w:pStyle w:val="Standard"/>
              <w:rPr>
                <w:rFonts w:ascii="標楷體" w:eastAsia="標楷體" w:hAnsi="標楷體" w:cs="Times New Roman"/>
                <w:color w:val="FF0000"/>
                <w:sz w:val="22"/>
              </w:rPr>
            </w:pPr>
            <w:r w:rsidRPr="00D00799">
              <w:rPr>
                <w:rFonts w:ascii="標楷體" w:eastAsia="標楷體" w:hAnsi="標楷體" w:cs="Times New Roman" w:hint="eastAsia"/>
                <w:color w:val="FF0000"/>
                <w:sz w:val="22"/>
              </w:rPr>
              <w:t>注意事項張貼於</w:t>
            </w:r>
            <w:r w:rsidRPr="00344A64">
              <w:rPr>
                <w:rFonts w:ascii="標楷體" w:eastAsia="標楷體" w:hAnsi="標楷體" w:cs="Times New Roman" w:hint="eastAsia"/>
                <w:color w:val="FF0000"/>
                <w:sz w:val="22"/>
                <w:bdr w:val="single" w:sz="4" w:space="0" w:color="auto"/>
              </w:rPr>
              <w:t>鋼瓶區</w:t>
            </w:r>
            <w:r w:rsidRPr="00D00799">
              <w:rPr>
                <w:rFonts w:ascii="標楷體" w:eastAsia="標楷體" w:hAnsi="標楷體" w:cs="Times New Roman" w:hint="eastAsia"/>
                <w:color w:val="FF0000"/>
                <w:sz w:val="22"/>
              </w:rPr>
              <w:t>並實施自動檢查</w:t>
            </w:r>
          </w:p>
        </w:tc>
      </w:tr>
      <w:tr w:rsidR="000110A7" w:rsidRPr="00B300E8" w14:paraId="59DBA4BC" w14:textId="77777777" w:rsidTr="00806B81">
        <w:trPr>
          <w:cantSplit/>
          <w:trHeight w:val="392"/>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B8CF42C"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98038B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70D9521"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二、貯存周圍二公尺內不得放置有煙火及著火性、引火性物品。</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F1F1776" w14:textId="2F2F5D3E"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6D3E91A" w14:textId="44890685"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AA25F1D"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5227BF1D"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49A9F681"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A4B9B09"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18780D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666600A"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三、盛裝容器和空容器應分區放置。</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07F58B9" w14:textId="4718D34A"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07B52B4" w14:textId="57CBE286"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6207E4A"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7999305"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4DF3A7AB"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862803B"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5DE0CA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2977B59"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四、可燃性氣體、有毒性氣體及氧氣之鋼瓶，應分開貯存。</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863A64E" w14:textId="1E6E8777"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1EFAED0" w14:textId="43BE1016"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3126667"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3EF49EB"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1F1C5E4A"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7742929"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E5BBBC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04059E7"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五、應安穩置放並加固定及</w:t>
            </w:r>
            <w:proofErr w:type="gramStart"/>
            <w:r w:rsidRPr="00B300E8">
              <w:rPr>
                <w:rFonts w:ascii="Times New Roman" w:eastAsia="標楷體" w:hAnsi="Times New Roman" w:cs="Times New Roman"/>
                <w:sz w:val="22"/>
              </w:rPr>
              <w:t>裝妥護蓋</w:t>
            </w:r>
            <w:proofErr w:type="gramEnd"/>
            <w:r w:rsidRPr="00B300E8">
              <w:rPr>
                <w:rFonts w:ascii="Times New Roman" w:eastAsia="標楷體" w:hAnsi="Times New Roman" w:cs="Times New Roman"/>
                <w:sz w:val="22"/>
              </w:rPr>
              <w:t>。</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FC5AFC3" w14:textId="114FA1F2"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DF49234" w14:textId="6D7BFAED"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A9985E5"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7EB27416"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54DFD1B5"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E59FEB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D8EB24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6599C1D"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六、容器應保持在攝氏四十度以下。</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6C6F468"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r w:rsidRPr="00765C5B">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99AF486"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8A3A21A"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388EAF17"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3838BF43"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97CEA1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82E40D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1794314"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七、貯存處應考慮於緊急時便於搬出。</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40F361A" w14:textId="37047FDB"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69B4322" w14:textId="48563542"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D6B5854"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3A285459"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772610D2"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40E3A8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0E7B73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46D7E8B"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八、通路面積以確保貯存處面積百分之二十以上為原則。</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79C7D1A" w14:textId="42A9BE37"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97829C8" w14:textId="2E45F2D4"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1E7C79C"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3E15928"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16814460"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A603876"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862B73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E1AD912"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九、貯存處附近，不得任意放置其他物品。</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7067490" w14:textId="04F30CAA"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DB276E0" w14:textId="4C817E4A"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28762E9"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EEA8871"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388E8A3C"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828CAD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FFBCF7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2C4DA"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sz w:val="22"/>
              </w:rPr>
              <w:t>十、貯存比空氣重之氣體，應注意低</w:t>
            </w:r>
            <w:proofErr w:type="gramStart"/>
            <w:r w:rsidRPr="00B300E8">
              <w:rPr>
                <w:rFonts w:ascii="Times New Roman" w:eastAsia="標楷體" w:hAnsi="Times New Roman" w:cs="Times New Roman"/>
                <w:sz w:val="22"/>
              </w:rPr>
              <w:t>漥</w:t>
            </w:r>
            <w:proofErr w:type="gramEnd"/>
            <w:r w:rsidRPr="00B300E8">
              <w:rPr>
                <w:rFonts w:ascii="Times New Roman" w:eastAsia="標楷體" w:hAnsi="Times New Roman" w:cs="Times New Roman"/>
                <w:sz w:val="22"/>
              </w:rPr>
              <w:t>處之通風。</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690A6" w14:textId="7B399093"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805A6" w14:textId="1ED6BD78"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D86DF"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2C037C" w14:textId="77777777" w:rsidR="000110A7" w:rsidRPr="00D00799" w:rsidRDefault="000110A7" w:rsidP="00806B81">
            <w:pPr>
              <w:pStyle w:val="Standard"/>
              <w:rPr>
                <w:rFonts w:ascii="標楷體" w:eastAsia="標楷體" w:hAnsi="標楷體" w:cs="Times New Roman"/>
                <w:color w:val="FF0000"/>
                <w:sz w:val="22"/>
              </w:rPr>
            </w:pPr>
          </w:p>
        </w:tc>
      </w:tr>
      <w:tr w:rsidR="000110A7" w:rsidRPr="00B300E8" w14:paraId="2F4839FB"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4F59DFA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5E540C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1891406"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19-9</w:t>
            </w:r>
          </w:p>
          <w:p w14:paraId="06F25CCC" w14:textId="64F7CD3A"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hint="eastAsia"/>
                <w:sz w:val="22"/>
              </w:rPr>
              <w:t>雇主搬運儲存高壓氣體之容器，不論盛裝或空容器，應依下列規定辦理：</w:t>
            </w:r>
            <w:r w:rsidRPr="00F80346">
              <w:rPr>
                <w:rFonts w:ascii="Times New Roman" w:eastAsia="標楷體" w:hAnsi="Times New Roman" w:cs="Times New Roman" w:hint="eastAsia"/>
                <w:sz w:val="22"/>
              </w:rPr>
              <w:t>(</w:t>
            </w:r>
            <w:r w:rsidRPr="00F80346">
              <w:rPr>
                <w:rFonts w:ascii="Times New Roman" w:eastAsia="標楷體" w:hAnsi="Times New Roman" w:cs="Times New Roman" w:hint="eastAsia"/>
                <w:sz w:val="22"/>
              </w:rPr>
              <w:t>設施規則</w:t>
            </w:r>
            <w:r w:rsidRPr="00F80346">
              <w:rPr>
                <w:rFonts w:ascii="Times New Roman" w:eastAsia="標楷體" w:hAnsi="Times New Roman" w:cs="Times New Roman" w:hint="eastAsia"/>
                <w:sz w:val="22"/>
              </w:rPr>
              <w:t xml:space="preserve"> 107)</w:t>
            </w:r>
          </w:p>
          <w:p w14:paraId="1ADEBD6D"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一、溫度保持在攝氏四十度以下。</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E15C4BA" w14:textId="6A6C47CB"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429145F"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6FF63A4"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val="restart"/>
            <w:tcBorders>
              <w:left w:val="single" w:sz="4" w:space="0" w:color="000000"/>
              <w:right w:val="single" w:sz="4" w:space="0" w:color="auto"/>
            </w:tcBorders>
            <w:shd w:val="clear" w:color="auto" w:fill="auto"/>
            <w:tcMar>
              <w:top w:w="0" w:type="dxa"/>
              <w:left w:w="108" w:type="dxa"/>
              <w:bottom w:w="0" w:type="dxa"/>
              <w:right w:w="108" w:type="dxa"/>
            </w:tcMar>
          </w:tcPr>
          <w:p w14:paraId="4E9E7055" w14:textId="77777777" w:rsidR="000110A7" w:rsidRPr="00D00799" w:rsidRDefault="000110A7" w:rsidP="00806B81">
            <w:pPr>
              <w:pStyle w:val="Standard"/>
              <w:rPr>
                <w:rFonts w:ascii="標楷體" w:eastAsia="標楷體" w:hAnsi="標楷體" w:cs="Times New Roman"/>
                <w:color w:val="FF0000"/>
                <w:sz w:val="22"/>
              </w:rPr>
            </w:pPr>
            <w:r w:rsidRPr="00D00799">
              <w:rPr>
                <w:rFonts w:ascii="標楷體" w:eastAsia="標楷體" w:hAnsi="標楷體" w:cs="Times New Roman" w:hint="eastAsia"/>
                <w:color w:val="FF0000"/>
                <w:sz w:val="22"/>
              </w:rPr>
              <w:t>注意事項張貼於</w:t>
            </w:r>
            <w:r w:rsidRPr="00C42145">
              <w:rPr>
                <w:rFonts w:ascii="標楷體" w:eastAsia="標楷體" w:hAnsi="標楷體" w:cs="Times New Roman" w:hint="eastAsia"/>
                <w:color w:val="FF0000"/>
                <w:sz w:val="22"/>
                <w:bdr w:val="single" w:sz="4" w:space="0" w:color="auto"/>
              </w:rPr>
              <w:t>鋼瓶區</w:t>
            </w:r>
          </w:p>
        </w:tc>
      </w:tr>
      <w:tr w:rsidR="000110A7" w:rsidRPr="00B300E8" w14:paraId="5685835B"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0E52881"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24F99E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2D11AB9"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二、場內移動儘量使用專用手推車等，務求安穩直立。</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AFB19BA" w14:textId="570B2244"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E16CB69"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B8668FC"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E7696D6" w14:textId="77777777" w:rsidR="000110A7" w:rsidRPr="00B300E8" w:rsidRDefault="000110A7" w:rsidP="00806B81">
            <w:pPr>
              <w:pStyle w:val="Standard"/>
              <w:rPr>
                <w:rFonts w:ascii="Times New Roman" w:hAnsi="Times New Roman" w:cs="Times New Roman"/>
              </w:rPr>
            </w:pPr>
          </w:p>
        </w:tc>
      </w:tr>
      <w:tr w:rsidR="000110A7" w:rsidRPr="00B300E8" w14:paraId="30B95A82"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B0D1E6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1539E2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FE5E328"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三、以手移動容器，應確知護</w:t>
            </w:r>
            <w:proofErr w:type="gramStart"/>
            <w:r w:rsidRPr="00B300E8">
              <w:rPr>
                <w:rFonts w:ascii="Times New Roman" w:eastAsia="標楷體" w:hAnsi="Times New Roman" w:cs="Times New Roman" w:hint="eastAsia"/>
                <w:sz w:val="22"/>
              </w:rPr>
              <w:t>蓋旋緊後</w:t>
            </w:r>
            <w:proofErr w:type="gramEnd"/>
            <w:r w:rsidRPr="00B300E8">
              <w:rPr>
                <w:rFonts w:ascii="Times New Roman" w:eastAsia="標楷體" w:hAnsi="Times New Roman" w:cs="Times New Roman" w:hint="eastAsia"/>
                <w:sz w:val="22"/>
              </w:rPr>
              <w:t>，方直立移動。</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1482B7B" w14:textId="612E7DA4"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8B8DF21"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754DFD6"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E1BEF55" w14:textId="77777777" w:rsidR="000110A7" w:rsidRPr="00B300E8" w:rsidRDefault="000110A7" w:rsidP="00806B81">
            <w:pPr>
              <w:pStyle w:val="Standard"/>
              <w:rPr>
                <w:rFonts w:ascii="Times New Roman" w:hAnsi="Times New Roman" w:cs="Times New Roman"/>
              </w:rPr>
            </w:pPr>
          </w:p>
        </w:tc>
      </w:tr>
      <w:tr w:rsidR="000110A7" w:rsidRPr="00B300E8" w14:paraId="33C33735"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1D203C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0E76E8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9887308"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四、容器吊起搬運不得直接用電磁鐵、</w:t>
            </w:r>
            <w:proofErr w:type="gramStart"/>
            <w:r w:rsidRPr="00B300E8">
              <w:rPr>
                <w:rFonts w:ascii="Times New Roman" w:eastAsia="標楷體" w:hAnsi="Times New Roman" w:cs="Times New Roman" w:hint="eastAsia"/>
                <w:sz w:val="22"/>
              </w:rPr>
              <w:t>吊鏈</w:t>
            </w:r>
            <w:proofErr w:type="gramEnd"/>
            <w:r w:rsidRPr="00B300E8">
              <w:rPr>
                <w:rFonts w:ascii="Times New Roman" w:eastAsia="標楷體" w:hAnsi="Times New Roman" w:cs="Times New Roman" w:hint="eastAsia"/>
                <w:sz w:val="22"/>
              </w:rPr>
              <w:t>、繩子等直接吊運。</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2B1DE04" w14:textId="4F96EED8"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C9EF1CE"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8AF4814"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476CCB62" w14:textId="77777777" w:rsidR="000110A7" w:rsidRPr="00B300E8" w:rsidRDefault="000110A7" w:rsidP="00806B81">
            <w:pPr>
              <w:pStyle w:val="Standard"/>
              <w:rPr>
                <w:rFonts w:ascii="Times New Roman" w:hAnsi="Times New Roman" w:cs="Times New Roman"/>
              </w:rPr>
            </w:pPr>
          </w:p>
        </w:tc>
      </w:tr>
      <w:tr w:rsidR="000110A7" w:rsidRPr="00B300E8" w14:paraId="3F198645"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6329C677"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4AFB7B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428DF2B"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五、容器裝車</w:t>
            </w:r>
            <w:proofErr w:type="gramStart"/>
            <w:r w:rsidRPr="00B300E8">
              <w:rPr>
                <w:rFonts w:ascii="Times New Roman" w:eastAsia="標楷體" w:hAnsi="Times New Roman" w:cs="Times New Roman" w:hint="eastAsia"/>
                <w:sz w:val="22"/>
              </w:rPr>
              <w:t>或卸車</w:t>
            </w:r>
            <w:proofErr w:type="gramEnd"/>
            <w:r w:rsidRPr="00B300E8">
              <w:rPr>
                <w:rFonts w:ascii="Times New Roman" w:eastAsia="標楷體" w:hAnsi="Times New Roman" w:cs="Times New Roman" w:hint="eastAsia"/>
                <w:sz w:val="22"/>
              </w:rPr>
              <w:t>，應確知護</w:t>
            </w:r>
            <w:proofErr w:type="gramStart"/>
            <w:r w:rsidRPr="00B300E8">
              <w:rPr>
                <w:rFonts w:ascii="Times New Roman" w:eastAsia="標楷體" w:hAnsi="Times New Roman" w:cs="Times New Roman" w:hint="eastAsia"/>
                <w:sz w:val="22"/>
              </w:rPr>
              <w:t>蓋旋緊</w:t>
            </w:r>
            <w:proofErr w:type="gramEnd"/>
            <w:r w:rsidRPr="00B300E8">
              <w:rPr>
                <w:rFonts w:ascii="Times New Roman" w:eastAsia="標楷體" w:hAnsi="Times New Roman" w:cs="Times New Roman" w:hint="eastAsia"/>
                <w:sz w:val="22"/>
              </w:rPr>
              <w:t>後才進行，</w:t>
            </w:r>
            <w:proofErr w:type="gramStart"/>
            <w:r w:rsidRPr="00B300E8">
              <w:rPr>
                <w:rFonts w:ascii="Times New Roman" w:eastAsia="標楷體" w:hAnsi="Times New Roman" w:cs="Times New Roman" w:hint="eastAsia"/>
                <w:sz w:val="22"/>
              </w:rPr>
              <w:t>卸車</w:t>
            </w:r>
            <w:proofErr w:type="gramEnd"/>
            <w:r w:rsidRPr="00B300E8">
              <w:rPr>
                <w:rFonts w:ascii="Times New Roman" w:eastAsia="標楷體" w:hAnsi="Times New Roman" w:cs="Times New Roman" w:hint="eastAsia"/>
                <w:sz w:val="22"/>
              </w:rPr>
              <w:t>時必須使用緩衝板或輪胎。</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F066B15" w14:textId="6C55AE61"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446E537"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ED4279F"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C010B41" w14:textId="77777777" w:rsidR="000110A7" w:rsidRPr="00B300E8" w:rsidRDefault="000110A7" w:rsidP="00806B81">
            <w:pPr>
              <w:pStyle w:val="Standard"/>
              <w:rPr>
                <w:rFonts w:ascii="Times New Roman" w:hAnsi="Times New Roman" w:cs="Times New Roman"/>
              </w:rPr>
            </w:pPr>
          </w:p>
        </w:tc>
      </w:tr>
      <w:tr w:rsidR="000110A7" w:rsidRPr="00B300E8" w14:paraId="00065F0D"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140CDB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E21F99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8702012"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六、儘量避免與其他氣體</w:t>
            </w:r>
            <w:proofErr w:type="gramStart"/>
            <w:r w:rsidRPr="00B300E8">
              <w:rPr>
                <w:rFonts w:ascii="Times New Roman" w:eastAsia="標楷體" w:hAnsi="Times New Roman" w:cs="Times New Roman" w:hint="eastAsia"/>
                <w:sz w:val="22"/>
              </w:rPr>
              <w:t>混載，非混載</w:t>
            </w:r>
            <w:proofErr w:type="gramEnd"/>
            <w:r w:rsidRPr="00B300E8">
              <w:rPr>
                <w:rFonts w:ascii="Times New Roman" w:eastAsia="標楷體" w:hAnsi="Times New Roman" w:cs="Times New Roman" w:hint="eastAsia"/>
                <w:sz w:val="22"/>
              </w:rPr>
              <w:t>不可時，應將容器之頭尾反方向置放</w:t>
            </w:r>
            <w:proofErr w:type="gramStart"/>
            <w:r w:rsidRPr="00B300E8">
              <w:rPr>
                <w:rFonts w:ascii="Times New Roman" w:eastAsia="標楷體" w:hAnsi="Times New Roman" w:cs="Times New Roman" w:hint="eastAsia"/>
                <w:sz w:val="22"/>
              </w:rPr>
              <w:t>或隔置相</w:t>
            </w:r>
            <w:proofErr w:type="gramEnd"/>
            <w:r w:rsidRPr="00B300E8">
              <w:rPr>
                <w:rFonts w:ascii="Times New Roman" w:eastAsia="標楷體" w:hAnsi="Times New Roman" w:cs="Times New Roman" w:hint="eastAsia"/>
                <w:sz w:val="22"/>
              </w:rPr>
              <w:t>當間隔。</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08B17B3" w14:textId="2E0FBE3E"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318FA9B"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052D836"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53D6987" w14:textId="77777777" w:rsidR="000110A7" w:rsidRPr="00B300E8" w:rsidRDefault="000110A7" w:rsidP="00806B81">
            <w:pPr>
              <w:pStyle w:val="Standard"/>
              <w:rPr>
                <w:rFonts w:ascii="Times New Roman" w:hAnsi="Times New Roman" w:cs="Times New Roman"/>
              </w:rPr>
            </w:pPr>
          </w:p>
        </w:tc>
      </w:tr>
      <w:tr w:rsidR="000110A7" w:rsidRPr="00B300E8" w14:paraId="6D85C2E0"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F7924A2"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57F031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4A65F3D"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七、載運可燃性氣體時，要置備滅火器；載運毒性氣體時，要置備吸收劑、中和劑、防毒面具等。</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DA0A5A3" w14:textId="2D0225DE"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6FF4F6E"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B971A69"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2EDCF3E7" w14:textId="77777777" w:rsidR="000110A7" w:rsidRPr="00B300E8" w:rsidRDefault="000110A7" w:rsidP="00806B81">
            <w:pPr>
              <w:pStyle w:val="Standard"/>
              <w:rPr>
                <w:rFonts w:ascii="Times New Roman" w:hAnsi="Times New Roman" w:cs="Times New Roman"/>
              </w:rPr>
            </w:pPr>
          </w:p>
        </w:tc>
      </w:tr>
      <w:tr w:rsidR="000110A7" w:rsidRPr="00B300E8" w14:paraId="31E99B6A"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F920309"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F8B4D4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E1FA069"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八、盛裝容器之載運車輛，應有警戒標誌。</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E59C845" w14:textId="46738B37"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564B6BC"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3C348ED"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65D18509" w14:textId="77777777" w:rsidR="000110A7" w:rsidRPr="00B300E8" w:rsidRDefault="000110A7" w:rsidP="00806B81">
            <w:pPr>
              <w:pStyle w:val="Standard"/>
              <w:rPr>
                <w:rFonts w:ascii="Times New Roman" w:hAnsi="Times New Roman" w:cs="Times New Roman"/>
              </w:rPr>
            </w:pPr>
          </w:p>
        </w:tc>
      </w:tr>
      <w:tr w:rsidR="000110A7" w:rsidRPr="00B300E8" w14:paraId="3FE3A420"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69FBEF9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12496D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3BC1F34"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九、運送中遇有漏氣，應檢查漏出部位，給予適當處理。</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13061152" w14:textId="59B0A774"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AD3265E"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173CB1A"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2436E1A" w14:textId="77777777" w:rsidR="000110A7" w:rsidRPr="00B300E8" w:rsidRDefault="000110A7" w:rsidP="00806B81">
            <w:pPr>
              <w:pStyle w:val="Standard"/>
              <w:rPr>
                <w:rFonts w:ascii="Times New Roman" w:hAnsi="Times New Roman" w:cs="Times New Roman"/>
              </w:rPr>
            </w:pPr>
          </w:p>
        </w:tc>
      </w:tr>
      <w:tr w:rsidR="000110A7" w:rsidRPr="00B300E8" w14:paraId="4F7CCFA2"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B1C40C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5EF0F3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80F97" w14:textId="77777777" w:rsidR="000110A7" w:rsidRPr="00B300E8" w:rsidRDefault="000110A7" w:rsidP="00806B81">
            <w:pPr>
              <w:spacing w:line="276" w:lineRule="auto"/>
              <w:ind w:left="696"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十、搬運中發現溫度異常高昇時，應立即灑水冷卻，必要時，並應通知原製造廠協助處理。</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B06CC" w14:textId="6914EB40" w:rsidR="000110A7" w:rsidRPr="00765C5B" w:rsidRDefault="00680EB4"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8C03"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82901" w14:textId="77777777" w:rsidR="000110A7" w:rsidRPr="00765C5B"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D09E402" w14:textId="77777777" w:rsidR="000110A7" w:rsidRPr="00B300E8" w:rsidRDefault="000110A7" w:rsidP="00806B81">
            <w:pPr>
              <w:pStyle w:val="Standard"/>
              <w:rPr>
                <w:rFonts w:ascii="Times New Roman" w:hAnsi="Times New Roman" w:cs="Times New Roman"/>
              </w:rPr>
            </w:pPr>
          </w:p>
        </w:tc>
      </w:tr>
      <w:tr w:rsidR="000110A7" w:rsidRPr="00B300E8" w14:paraId="78B7EE04" w14:textId="77777777" w:rsidTr="00806B81">
        <w:trPr>
          <w:cantSplit/>
          <w:trHeight w:val="397"/>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236487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786525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508C5" w14:textId="77777777"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19-10</w:t>
            </w:r>
          </w:p>
          <w:p w14:paraId="7712E43F" w14:textId="77D16D24"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hint="eastAsia"/>
                <w:sz w:val="22"/>
              </w:rPr>
              <w:t>消費設備中有氣體漏</w:t>
            </w:r>
            <w:proofErr w:type="gramStart"/>
            <w:r w:rsidRPr="00F80346">
              <w:rPr>
                <w:rFonts w:ascii="Times New Roman" w:eastAsia="標楷體" w:hAnsi="Times New Roman" w:cs="Times New Roman" w:hint="eastAsia"/>
                <w:sz w:val="22"/>
              </w:rPr>
              <w:t>洩致積滯</w:t>
            </w:r>
            <w:proofErr w:type="gramEnd"/>
            <w:r w:rsidRPr="00F80346">
              <w:rPr>
                <w:rFonts w:ascii="Times New Roman" w:eastAsia="標楷體" w:hAnsi="Times New Roman" w:cs="Times New Roman" w:hint="eastAsia"/>
                <w:sz w:val="22"/>
              </w:rPr>
              <w:t>之虞之場所，應設置可</w:t>
            </w:r>
            <w:proofErr w:type="gramStart"/>
            <w:r w:rsidRPr="00F80346">
              <w:rPr>
                <w:rFonts w:ascii="Times New Roman" w:eastAsia="標楷體" w:hAnsi="Times New Roman" w:cs="Times New Roman" w:hint="eastAsia"/>
                <w:sz w:val="22"/>
              </w:rPr>
              <w:t>探測該漏洩</w:t>
            </w:r>
            <w:proofErr w:type="gramEnd"/>
            <w:r w:rsidRPr="00F80346">
              <w:rPr>
                <w:rFonts w:ascii="Times New Roman" w:eastAsia="標楷體" w:hAnsi="Times New Roman" w:cs="Times New Roman" w:hint="eastAsia"/>
                <w:sz w:val="22"/>
              </w:rPr>
              <w:t>氣體，且自動發出警報之氣體漏洩檢知警報設備，</w:t>
            </w:r>
            <w:proofErr w:type="gramStart"/>
            <w:r w:rsidRPr="00F80346">
              <w:rPr>
                <w:rFonts w:ascii="Times New Roman" w:eastAsia="標楷體" w:hAnsi="Times New Roman" w:cs="Times New Roman" w:hint="eastAsia"/>
                <w:sz w:val="22"/>
              </w:rPr>
              <w:t>但液</w:t>
            </w:r>
            <w:proofErr w:type="gramEnd"/>
            <w:r w:rsidRPr="00F80346">
              <w:rPr>
                <w:rFonts w:ascii="Times New Roman" w:eastAsia="標楷體" w:hAnsi="Times New Roman" w:cs="Times New Roman" w:hint="eastAsia"/>
                <w:sz w:val="22"/>
              </w:rPr>
              <w:t>氧除外。</w:t>
            </w:r>
            <w:r w:rsidRPr="00F80346">
              <w:rPr>
                <w:rFonts w:ascii="Times New Roman" w:eastAsia="標楷體" w:hAnsi="Times New Roman" w:cs="Times New Roman" w:hint="eastAsia"/>
                <w:sz w:val="22"/>
              </w:rPr>
              <w:t>(</w:t>
            </w:r>
            <w:r w:rsidRPr="00F80346">
              <w:rPr>
                <w:rFonts w:ascii="Times New Roman" w:eastAsia="標楷體" w:hAnsi="Times New Roman" w:cs="Times New Roman" w:hint="eastAsia"/>
                <w:sz w:val="22"/>
              </w:rPr>
              <w:t>高壓氣體規則</w:t>
            </w:r>
            <w:r w:rsidRPr="00F80346">
              <w:rPr>
                <w:rFonts w:ascii="Times New Roman" w:eastAsia="標楷體" w:hAnsi="Times New Roman" w:cs="Times New Roman" w:hint="eastAsia"/>
                <w:sz w:val="22"/>
              </w:rPr>
              <w:t>167)</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B3EA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F2039" w14:textId="1494C0DC" w:rsidR="000110A7" w:rsidRPr="0000247D"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41434" w14:textId="72A10E71" w:rsidR="000110A7" w:rsidRPr="0000247D" w:rsidRDefault="0028279D" w:rsidP="00806B81">
            <w:pPr>
              <w:pStyle w:val="Standard"/>
              <w:spacing w:line="276" w:lineRule="auto"/>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V</w:t>
            </w: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B80580" w14:textId="77777777" w:rsidR="000110A7" w:rsidRPr="00B300E8" w:rsidRDefault="000110A7" w:rsidP="00806B81">
            <w:pPr>
              <w:pStyle w:val="Standard"/>
              <w:rPr>
                <w:rFonts w:ascii="Times New Roman" w:hAnsi="Times New Roman" w:cs="Times New Roman"/>
              </w:rPr>
            </w:pPr>
          </w:p>
        </w:tc>
      </w:tr>
      <w:tr w:rsidR="000110A7" w:rsidRPr="00B300E8" w14:paraId="4B9C1CA6" w14:textId="77777777" w:rsidTr="00806B81">
        <w:trPr>
          <w:cantSplit/>
          <w:trHeight w:val="80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43330C9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876972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E67B4" w14:textId="652227E9"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1</w:t>
            </w:r>
          </w:p>
          <w:p w14:paraId="1891AA02" w14:textId="0641F631"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雇主對於鍋爐、壓力容器之安全閥及其他附屬品，應於壓力表之刻度板上，明顯標示最高使用壓力之位置。</w:t>
            </w:r>
            <w:r w:rsidRPr="00F80346">
              <w:rPr>
                <w:rFonts w:ascii="Times New Roman" w:eastAsia="標楷體" w:hAnsi="Times New Roman" w:cs="Times New Roman"/>
                <w:sz w:val="22"/>
              </w:rPr>
              <w:t>(</w:t>
            </w:r>
            <w:r w:rsidRPr="00F80346">
              <w:rPr>
                <w:rFonts w:ascii="Times New Roman" w:eastAsia="標楷體" w:hAnsi="Times New Roman" w:cs="Times New Roman"/>
                <w:sz w:val="22"/>
              </w:rPr>
              <w:t>例如：</w:t>
            </w:r>
            <w:r w:rsidRPr="000966A0">
              <w:rPr>
                <w:rFonts w:ascii="Times New Roman" w:eastAsia="標楷體" w:hAnsi="Times New Roman" w:cs="Times New Roman"/>
                <w:color w:val="FF0000"/>
                <w:sz w:val="22"/>
                <w:bdr w:val="single" w:sz="4" w:space="0" w:color="auto"/>
              </w:rPr>
              <w:t>空壓機</w:t>
            </w:r>
            <w:r w:rsidRPr="00F80346">
              <w:rPr>
                <w:rFonts w:ascii="Times New Roman" w:eastAsia="標楷體" w:hAnsi="Times New Roman" w:cs="Times New Roman"/>
                <w:sz w:val="22"/>
              </w:rPr>
              <w:t>) (</w:t>
            </w:r>
            <w:r w:rsidRPr="00F80346">
              <w:rPr>
                <w:rFonts w:ascii="Times New Roman" w:eastAsia="標楷體" w:hAnsi="Times New Roman" w:cs="Times New Roman"/>
                <w:sz w:val="22"/>
              </w:rPr>
              <w:t>鍋爐及壓力容器</w:t>
            </w:r>
            <w:r w:rsidRPr="00F80346">
              <w:rPr>
                <w:rFonts w:ascii="Times New Roman" w:eastAsia="標楷體" w:hAnsi="Times New Roman" w:cs="Times New Roman"/>
                <w:sz w:val="22"/>
              </w:rPr>
              <w:t xml:space="preserve"> 17</w:t>
            </w:r>
            <w:r w:rsidRPr="00F80346">
              <w:rPr>
                <w:rFonts w:ascii="Times New Roman" w:eastAsia="標楷體" w:hAnsi="Times New Roman" w:cs="Times New Roman"/>
                <w:sz w:val="22"/>
              </w:rPr>
              <w:t>、</w:t>
            </w:r>
            <w:r w:rsidRPr="00F80346">
              <w:rPr>
                <w:rFonts w:ascii="Times New Roman" w:eastAsia="標楷體" w:hAnsi="Times New Roman" w:cs="Times New Roman"/>
                <w:sz w:val="22"/>
              </w:rPr>
              <w:t>30)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3C55A" w14:textId="77AF2E78" w:rsidR="000110A7" w:rsidRPr="00B300E8" w:rsidRDefault="0034757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6D122" w14:textId="44E09B36" w:rsidR="000110A7" w:rsidRPr="0000247D" w:rsidRDefault="000110A7" w:rsidP="00806B81">
            <w:pPr>
              <w:pStyle w:val="Standard"/>
              <w:spacing w:line="276" w:lineRule="auto"/>
              <w:jc w:val="center"/>
              <w:rPr>
                <w:rFonts w:ascii="Times New Roman" w:eastAsia="標楷體" w:hAnsi="Times New Roman" w:cs="Times New Roman"/>
                <w:color w:val="FF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1CB1C" w14:textId="77777777" w:rsidR="000110A7" w:rsidRPr="0000247D" w:rsidRDefault="000110A7" w:rsidP="00806B81">
            <w:pPr>
              <w:pStyle w:val="Standard"/>
              <w:spacing w:line="276" w:lineRule="auto"/>
              <w:jc w:val="center"/>
              <w:rPr>
                <w:rFonts w:ascii="Times New Roman" w:eastAsia="標楷體" w:hAnsi="Times New Roman" w:cs="Times New Roman"/>
                <w:color w:val="FF0000"/>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549CF23" w14:textId="1E4257C5" w:rsidR="000110A7" w:rsidRPr="00B300E8" w:rsidRDefault="002916B2" w:rsidP="00806B81">
            <w:pPr>
              <w:pStyle w:val="Standard"/>
              <w:rPr>
                <w:rFonts w:ascii="Times New Roman" w:hAnsi="Times New Roman" w:cs="Times New Roman"/>
              </w:rPr>
            </w:pPr>
            <w:r>
              <w:rPr>
                <w:rFonts w:ascii="Times New Roman" w:eastAsia="標楷體" w:hAnsi="Times New Roman" w:cs="Times New Roman" w:hint="eastAsia"/>
                <w:color w:val="FF0000"/>
                <w:sz w:val="22"/>
              </w:rPr>
              <w:t>使用鋼瓶注意</w:t>
            </w:r>
            <w:r w:rsidRPr="000966A0">
              <w:rPr>
                <w:rFonts w:ascii="Times New Roman" w:eastAsia="標楷體" w:hAnsi="Times New Roman" w:cs="Times New Roman"/>
                <w:color w:val="FF0000"/>
                <w:sz w:val="22"/>
              </w:rPr>
              <w:t>，</w:t>
            </w:r>
            <w:r w:rsidR="000966A0" w:rsidRPr="000966A0">
              <w:rPr>
                <w:rFonts w:ascii="Times New Roman" w:eastAsia="標楷體" w:hAnsi="Times New Roman" w:cs="Times New Roman"/>
                <w:color w:val="FF0000"/>
                <w:sz w:val="22"/>
              </w:rPr>
              <w:t>壓力表之刻度板上，明顯標示</w:t>
            </w:r>
            <w:r w:rsidR="000966A0" w:rsidRPr="000966A0">
              <w:rPr>
                <w:rFonts w:ascii="Times New Roman" w:eastAsia="標楷體" w:hAnsi="Times New Roman" w:cs="Times New Roman"/>
                <w:color w:val="FF0000"/>
                <w:sz w:val="22"/>
                <w:bdr w:val="single" w:sz="4" w:space="0" w:color="auto"/>
              </w:rPr>
              <w:t>最高使用壓力之位置</w:t>
            </w:r>
          </w:p>
        </w:tc>
      </w:tr>
      <w:tr w:rsidR="000110A7" w:rsidRPr="00B300E8" w14:paraId="3E4A425E" w14:textId="77777777" w:rsidTr="00806B81">
        <w:trPr>
          <w:cantSplit/>
          <w:trHeight w:val="83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3F03E937"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416C5D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CF3F3" w14:textId="771566A0"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2</w:t>
            </w:r>
          </w:p>
          <w:p w14:paraId="48AF8671" w14:textId="73EC90D3"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雇主設置之密閉設備、局部排氣裝置、</w:t>
            </w:r>
            <w:proofErr w:type="gramStart"/>
            <w:r w:rsidRPr="00F80346">
              <w:rPr>
                <w:rFonts w:ascii="Times New Roman" w:eastAsia="標楷體" w:hAnsi="Times New Roman" w:cs="Times New Roman"/>
                <w:sz w:val="22"/>
              </w:rPr>
              <w:t>吹吸型</w:t>
            </w:r>
            <w:proofErr w:type="gramEnd"/>
            <w:r w:rsidRPr="00F80346">
              <w:rPr>
                <w:rFonts w:ascii="Times New Roman" w:eastAsia="標楷體" w:hAnsi="Times New Roman" w:cs="Times New Roman"/>
                <w:sz w:val="22"/>
              </w:rPr>
              <w:t>換氣裝置或整體換氣裝置，應由專業人員妥為設計，並維持其有效性能。</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38)</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57AA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E940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1E86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BE5832" w14:textId="5B53E61F"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D71C63">
              <w:rPr>
                <w:rFonts w:ascii="標楷體" w:eastAsia="標楷體" w:hAnsi="標楷體" w:cs="Times New Roman" w:hint="eastAsia"/>
                <w:color w:val="FF0000"/>
                <w:sz w:val="22"/>
              </w:rPr>
              <w:t>換氣設備由專業人員設計</w:t>
            </w:r>
          </w:p>
        </w:tc>
      </w:tr>
      <w:tr w:rsidR="000110A7" w:rsidRPr="00B300E8" w14:paraId="78D73C95" w14:textId="77777777" w:rsidTr="00806B81">
        <w:trPr>
          <w:cantSplit/>
          <w:trHeight w:val="882"/>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41E0DF9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AEDD28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63630" w14:textId="5C1A2A93"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3</w:t>
            </w:r>
          </w:p>
          <w:p w14:paraId="40B38EB7" w14:textId="5389BA20"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雇主設置之局部排氣裝置、</w:t>
            </w:r>
            <w:proofErr w:type="gramStart"/>
            <w:r w:rsidRPr="00F80346">
              <w:rPr>
                <w:rFonts w:ascii="Times New Roman" w:eastAsia="標楷體" w:hAnsi="Times New Roman" w:cs="Times New Roman"/>
                <w:sz w:val="22"/>
              </w:rPr>
              <w:t>吹吸型</w:t>
            </w:r>
            <w:proofErr w:type="gramEnd"/>
            <w:r w:rsidRPr="00F80346">
              <w:rPr>
                <w:rFonts w:ascii="Times New Roman" w:eastAsia="標楷體" w:hAnsi="Times New Roman" w:cs="Times New Roman"/>
                <w:sz w:val="22"/>
              </w:rPr>
              <w:t>換氣裝置或整體換氣裝置，於有機溶劑作業時，不得停止運轉。</w:t>
            </w:r>
            <w:r w:rsidRPr="00F80346">
              <w:rPr>
                <w:rFonts w:ascii="Times New Roman" w:eastAsia="標楷體" w:hAnsi="Times New Roman" w:cs="Times New Roman"/>
                <w:sz w:val="22"/>
              </w:rPr>
              <w:t>(</w:t>
            </w:r>
            <w:r w:rsidRPr="00F80346">
              <w:rPr>
                <w:rFonts w:ascii="Times New Roman" w:eastAsia="標楷體" w:hAnsi="Times New Roman" w:cs="Times New Roman"/>
                <w:sz w:val="22"/>
              </w:rPr>
              <w:t>有機</w:t>
            </w:r>
            <w:r w:rsidRPr="00F80346">
              <w:rPr>
                <w:rFonts w:ascii="Times New Roman" w:eastAsia="標楷體" w:hAnsi="Times New Roman" w:cs="Times New Roman"/>
                <w:sz w:val="22"/>
              </w:rPr>
              <w:t>16)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6E98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8F0B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6E00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ACBCE4" w14:textId="19A3231B"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有機溶劑</w:t>
            </w:r>
            <w:r w:rsidRPr="00A403FE">
              <w:rPr>
                <w:rFonts w:ascii="標楷體" w:eastAsia="標楷體" w:hAnsi="標楷體" w:cs="Times New Roman" w:hint="eastAsia"/>
                <w:color w:val="FF0000"/>
                <w:sz w:val="22"/>
              </w:rPr>
              <w:t>實驗室注意</w:t>
            </w:r>
          </w:p>
        </w:tc>
      </w:tr>
      <w:tr w:rsidR="000110A7" w:rsidRPr="00B300E8" w14:paraId="1DDF99C6"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43C247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24F479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E9629" w14:textId="5328E5E3"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4</w:t>
            </w:r>
          </w:p>
          <w:p w14:paraId="767A3069" w14:textId="7045168A"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雇主於室內儲藏有機溶劑或</w:t>
            </w:r>
            <w:proofErr w:type="gramStart"/>
            <w:r w:rsidRPr="00F80346">
              <w:rPr>
                <w:rFonts w:ascii="Times New Roman" w:eastAsia="標楷體" w:hAnsi="Times New Roman" w:cs="Times New Roman"/>
                <w:sz w:val="22"/>
              </w:rPr>
              <w:t>其混存物時</w:t>
            </w:r>
            <w:proofErr w:type="gramEnd"/>
            <w:r w:rsidRPr="00F80346">
              <w:rPr>
                <w:rFonts w:ascii="Times New Roman" w:eastAsia="標楷體" w:hAnsi="Times New Roman" w:cs="Times New Roman"/>
                <w:sz w:val="22"/>
              </w:rPr>
              <w:t>，應</w:t>
            </w:r>
            <w:bookmarkStart w:id="0" w:name="_GoBack"/>
            <w:r w:rsidRPr="000A6F0C">
              <w:rPr>
                <w:rFonts w:ascii="Times New Roman" w:eastAsia="標楷體" w:hAnsi="Times New Roman" w:cs="Times New Roman"/>
                <w:color w:val="FF0000"/>
                <w:sz w:val="22"/>
                <w:u w:val="single"/>
              </w:rPr>
              <w:t>使用備有栓蓋之堅固容器</w:t>
            </w:r>
            <w:bookmarkEnd w:id="0"/>
            <w:r w:rsidRPr="00F80346">
              <w:rPr>
                <w:rFonts w:ascii="Times New Roman" w:eastAsia="標楷體" w:hAnsi="Times New Roman" w:cs="Times New Roman"/>
                <w:sz w:val="22"/>
              </w:rPr>
              <w:t>，以免有機溶劑或</w:t>
            </w:r>
            <w:proofErr w:type="gramStart"/>
            <w:r w:rsidRPr="00F80346">
              <w:rPr>
                <w:rFonts w:ascii="Times New Roman" w:eastAsia="標楷體" w:hAnsi="Times New Roman" w:cs="Times New Roman"/>
                <w:sz w:val="22"/>
              </w:rPr>
              <w:t>其混</w:t>
            </w:r>
            <w:proofErr w:type="gramEnd"/>
            <w:r w:rsidRPr="00F80346">
              <w:rPr>
                <w:rFonts w:ascii="Times New Roman" w:eastAsia="標楷體" w:hAnsi="Times New Roman" w:cs="Times New Roman"/>
                <w:sz w:val="22"/>
              </w:rPr>
              <w:t>存物之溢出、漏洩、滲洩或擴散。</w:t>
            </w:r>
            <w:r w:rsidRPr="00F80346">
              <w:rPr>
                <w:rFonts w:ascii="Times New Roman" w:eastAsia="標楷體" w:hAnsi="Times New Roman" w:cs="Times New Roman"/>
                <w:sz w:val="22"/>
              </w:rPr>
              <w:t>(</w:t>
            </w:r>
            <w:r w:rsidRPr="00F80346">
              <w:rPr>
                <w:rFonts w:ascii="Times New Roman" w:eastAsia="標楷體" w:hAnsi="Times New Roman" w:cs="Times New Roman"/>
                <w:sz w:val="22"/>
              </w:rPr>
              <w:t>有機</w:t>
            </w:r>
            <w:r w:rsidRPr="00F80346">
              <w:rPr>
                <w:rFonts w:ascii="Times New Roman" w:eastAsia="標楷體" w:hAnsi="Times New Roman" w:cs="Times New Roman"/>
                <w:sz w:val="22"/>
              </w:rPr>
              <w:t>25)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0341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A36D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66E3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D8FBA01" w14:textId="6E121CD4"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有機溶劑</w:t>
            </w:r>
            <w:r w:rsidRPr="00A403FE">
              <w:rPr>
                <w:rFonts w:ascii="標楷體" w:eastAsia="標楷體" w:hAnsi="標楷體" w:cs="Times New Roman" w:hint="eastAsia"/>
                <w:color w:val="FF0000"/>
                <w:sz w:val="22"/>
              </w:rPr>
              <w:t>實驗室注意</w:t>
            </w:r>
          </w:p>
        </w:tc>
      </w:tr>
      <w:tr w:rsidR="000110A7" w:rsidRPr="00B300E8" w14:paraId="1E5D1814"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61AF981"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3E282A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E10E0" w14:textId="097E64F4"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5</w:t>
            </w:r>
          </w:p>
          <w:p w14:paraId="53BB5B18" w14:textId="18BA7EC5"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雇主對於曾儲存有機溶劑或</w:t>
            </w:r>
            <w:proofErr w:type="gramStart"/>
            <w:r w:rsidRPr="00F80346">
              <w:rPr>
                <w:rFonts w:ascii="Times New Roman" w:eastAsia="標楷體" w:hAnsi="Times New Roman" w:cs="Times New Roman"/>
                <w:sz w:val="22"/>
              </w:rPr>
              <w:t>其混存</w:t>
            </w:r>
            <w:proofErr w:type="gramEnd"/>
            <w:r w:rsidRPr="00F80346">
              <w:rPr>
                <w:rFonts w:ascii="Times New Roman" w:eastAsia="標楷體" w:hAnsi="Times New Roman" w:cs="Times New Roman"/>
                <w:sz w:val="22"/>
              </w:rPr>
              <w:t>物之容器而</w:t>
            </w:r>
            <w:r w:rsidRPr="000A6F0C">
              <w:rPr>
                <w:rFonts w:ascii="Times New Roman" w:eastAsia="標楷體" w:hAnsi="Times New Roman" w:cs="Times New Roman"/>
                <w:color w:val="FF0000"/>
                <w:sz w:val="22"/>
                <w:u w:val="single"/>
              </w:rPr>
              <w:t>有發散有機溶劑蒸氣之虞</w:t>
            </w:r>
            <w:r w:rsidRPr="00F80346">
              <w:rPr>
                <w:rFonts w:ascii="Times New Roman" w:eastAsia="標楷體" w:hAnsi="Times New Roman" w:cs="Times New Roman"/>
                <w:sz w:val="22"/>
              </w:rPr>
              <w:t>者，應將該容器予以密閉或堆積於室外之一定場所。</w:t>
            </w:r>
            <w:r w:rsidRPr="00F80346">
              <w:rPr>
                <w:rFonts w:ascii="Times New Roman" w:eastAsia="標楷體" w:hAnsi="Times New Roman" w:cs="Times New Roman"/>
                <w:sz w:val="22"/>
              </w:rPr>
              <w:t>(</w:t>
            </w:r>
            <w:r w:rsidRPr="00F80346">
              <w:rPr>
                <w:rFonts w:ascii="Times New Roman" w:eastAsia="標楷體" w:hAnsi="Times New Roman" w:cs="Times New Roman"/>
                <w:sz w:val="22"/>
              </w:rPr>
              <w:t>有機</w:t>
            </w:r>
            <w:r w:rsidRPr="00F80346">
              <w:rPr>
                <w:rFonts w:ascii="Times New Roman" w:eastAsia="標楷體" w:hAnsi="Times New Roman" w:cs="Times New Roman"/>
                <w:sz w:val="22"/>
              </w:rPr>
              <w:t>26)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28F7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C491" w14:textId="4B668E85"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CC8D1" w14:textId="1A690EB9" w:rsidR="000110A7" w:rsidRPr="00B300E8" w:rsidRDefault="00743796"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9E0C11B" w14:textId="141FFB60"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有機溶劑</w:t>
            </w:r>
            <w:r w:rsidRPr="00A403FE">
              <w:rPr>
                <w:rFonts w:ascii="標楷體" w:eastAsia="標楷體" w:hAnsi="標楷體" w:cs="Times New Roman" w:hint="eastAsia"/>
                <w:color w:val="FF0000"/>
                <w:sz w:val="22"/>
              </w:rPr>
              <w:t>實驗室注意</w:t>
            </w:r>
          </w:p>
        </w:tc>
      </w:tr>
      <w:tr w:rsidR="000110A7" w:rsidRPr="00B300E8" w14:paraId="74F0E5CC"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47186FD"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2547BF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16C1A" w14:textId="07F98160"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6</w:t>
            </w:r>
          </w:p>
          <w:p w14:paraId="3E2392E9" w14:textId="5E6ED014"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雇主對製造、處置或使用特定化學物質之作業場所，應依下列規定置備與同一工作時間作業勞工人數相同數量以上之適當必要防護具，並保持其性能及清潔，使勞工於有暴露危害之虞時，確實使用。</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50)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7BD9F" w14:textId="72754FA0" w:rsidR="000110A7" w:rsidRPr="00B300E8" w:rsidRDefault="0069342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279D2" w14:textId="2DB777A2"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826E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898645" w14:textId="4C42D42E"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322DDF">
              <w:rPr>
                <w:rFonts w:ascii="標楷體" w:eastAsia="標楷體" w:hAnsi="標楷體" w:cs="Times New Roman" w:hint="eastAsia"/>
                <w:color w:val="FF0000"/>
                <w:sz w:val="22"/>
              </w:rPr>
              <w:t>，</w:t>
            </w:r>
            <w:r w:rsidR="00322DDF" w:rsidRPr="00322DDF">
              <w:rPr>
                <w:rFonts w:ascii="Times New Roman" w:eastAsia="標楷體" w:hAnsi="Times New Roman" w:cs="Times New Roman"/>
                <w:color w:val="FF0000"/>
                <w:sz w:val="22"/>
              </w:rPr>
              <w:t>應依下列規定置備與同一工作時間作業勞工人數相同數量以上之適當必要防護具</w:t>
            </w:r>
            <w:r w:rsidR="00322DDF">
              <w:rPr>
                <w:rFonts w:ascii="Times New Roman" w:eastAsia="標楷體" w:hAnsi="Times New Roman" w:cs="Times New Roman" w:hint="eastAsia"/>
                <w:color w:val="FF0000"/>
                <w:sz w:val="22"/>
              </w:rPr>
              <w:t>。</w:t>
            </w:r>
          </w:p>
        </w:tc>
      </w:tr>
      <w:tr w:rsidR="000110A7" w:rsidRPr="00B300E8" w14:paraId="111358A7"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8ACB00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3EAE71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99D15" w14:textId="735A0825"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7</w:t>
            </w:r>
          </w:p>
          <w:p w14:paraId="15B16888" w14:textId="7777777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雇主應禁止與作業無關人員進入處置或使用乙類物質</w:t>
            </w:r>
            <w:proofErr w:type="gramStart"/>
            <w:r w:rsidRPr="00F80346">
              <w:rPr>
                <w:rFonts w:ascii="Times New Roman" w:eastAsia="標楷體" w:hAnsi="Times New Roman" w:cs="Times New Roman"/>
                <w:sz w:val="22"/>
              </w:rPr>
              <w:t>或丙類</w:t>
            </w:r>
            <w:proofErr w:type="gramEnd"/>
            <w:r w:rsidRPr="00F80346">
              <w:rPr>
                <w:rFonts w:ascii="Times New Roman" w:eastAsia="標楷體" w:hAnsi="Times New Roman" w:cs="Times New Roman"/>
                <w:sz w:val="22"/>
              </w:rPr>
              <w:t>物質之作業場所，並標示於顯明易見之處。</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32)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DBFB" w14:textId="036751BD" w:rsidR="000110A7" w:rsidRPr="00B300E8" w:rsidRDefault="0069342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B1D52" w14:textId="4E0A7CEC"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DDA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8359A7" w14:textId="4B768219"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322DDF">
              <w:rPr>
                <w:rFonts w:ascii="標楷體" w:eastAsia="標楷體" w:hAnsi="標楷體" w:cs="Times New Roman" w:hint="eastAsia"/>
                <w:color w:val="FF0000"/>
                <w:sz w:val="22"/>
              </w:rPr>
              <w:t>，</w:t>
            </w:r>
            <w:r w:rsidR="00322DDF" w:rsidRPr="00322DDF">
              <w:rPr>
                <w:rFonts w:ascii="Times New Roman" w:eastAsia="標楷體" w:hAnsi="Times New Roman" w:cs="Times New Roman"/>
                <w:color w:val="FF0000"/>
                <w:sz w:val="22"/>
              </w:rPr>
              <w:t>禁止與作業無關人員進入處置或使用</w:t>
            </w:r>
            <w:r w:rsidR="00322DDF">
              <w:rPr>
                <w:rFonts w:ascii="Times New Roman" w:eastAsia="標楷體" w:hAnsi="Times New Roman" w:cs="Times New Roman" w:hint="eastAsia"/>
                <w:color w:val="FF0000"/>
                <w:sz w:val="22"/>
              </w:rPr>
              <w:t>。</w:t>
            </w:r>
          </w:p>
        </w:tc>
      </w:tr>
      <w:tr w:rsidR="000110A7" w:rsidRPr="00B300E8" w14:paraId="5AA81A5D"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E3CB13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96888A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A36D9" w14:textId="4CAE9643"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8</w:t>
            </w:r>
          </w:p>
          <w:p w14:paraId="6A4FC63C" w14:textId="7777777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雇主使勞工從事製造、處置或使用特定化學物質時，其身體或衣著有被污染之虞時，應</w:t>
            </w:r>
            <w:proofErr w:type="gramStart"/>
            <w:r w:rsidRPr="00F80346">
              <w:rPr>
                <w:rFonts w:ascii="Times New Roman" w:eastAsia="標楷體" w:hAnsi="Times New Roman" w:cs="Times New Roman"/>
                <w:sz w:val="22"/>
              </w:rPr>
              <w:t>設置洗眼</w:t>
            </w:r>
            <w:proofErr w:type="gramEnd"/>
            <w:r w:rsidRPr="00F80346">
              <w:rPr>
                <w:rFonts w:ascii="Times New Roman" w:eastAsia="標楷體" w:hAnsi="Times New Roman" w:cs="Times New Roman"/>
                <w:sz w:val="22"/>
              </w:rPr>
              <w:t>、洗澡、漱口、更衣及洗濯等設備。</w:t>
            </w:r>
            <w:proofErr w:type="gramStart"/>
            <w:r w:rsidRPr="00F80346">
              <w:rPr>
                <w:rFonts w:ascii="Times New Roman" w:eastAsia="標楷體" w:hAnsi="Times New Roman" w:cs="Times New Roman"/>
                <w:sz w:val="22"/>
              </w:rPr>
              <w:t>丙類第</w:t>
            </w:r>
            <w:proofErr w:type="gramEnd"/>
            <w:r w:rsidRPr="00F80346">
              <w:rPr>
                <w:rFonts w:ascii="Times New Roman" w:eastAsia="標楷體" w:hAnsi="Times New Roman" w:cs="Times New Roman"/>
                <w:sz w:val="22"/>
              </w:rPr>
              <w:t>一種物質</w:t>
            </w:r>
            <w:proofErr w:type="gramStart"/>
            <w:r w:rsidRPr="00F80346">
              <w:rPr>
                <w:rFonts w:ascii="Times New Roman" w:eastAsia="標楷體" w:hAnsi="Times New Roman" w:cs="Times New Roman"/>
                <w:sz w:val="22"/>
              </w:rPr>
              <w:t>或丁類物</w:t>
            </w:r>
            <w:proofErr w:type="gramEnd"/>
            <w:r w:rsidRPr="00F80346">
              <w:rPr>
                <w:rFonts w:ascii="Times New Roman" w:eastAsia="標楷體" w:hAnsi="Times New Roman" w:cs="Times New Roman"/>
                <w:sz w:val="22"/>
              </w:rPr>
              <w:t>質之作業場所，應另設置</w:t>
            </w:r>
            <w:proofErr w:type="gramStart"/>
            <w:r w:rsidRPr="00F80346">
              <w:rPr>
                <w:rFonts w:ascii="Times New Roman" w:eastAsia="標楷體" w:hAnsi="Times New Roman" w:cs="Times New Roman"/>
                <w:sz w:val="22"/>
              </w:rPr>
              <w:t>緊急洗眼</w:t>
            </w:r>
            <w:proofErr w:type="gramEnd"/>
            <w:r w:rsidRPr="00F80346">
              <w:rPr>
                <w:rFonts w:ascii="Times New Roman" w:eastAsia="標楷體" w:hAnsi="Times New Roman" w:cs="Times New Roman"/>
                <w:sz w:val="22"/>
              </w:rPr>
              <w:t>及沖淋設備。</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36)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4DBE5" w14:textId="55CDAA48" w:rsidR="000110A7" w:rsidRPr="00B300E8" w:rsidRDefault="0069342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4897A" w14:textId="6CA37508"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AEA6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BE7C01" w14:textId="4B5EBE4F"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322DDF">
              <w:rPr>
                <w:rFonts w:ascii="標楷體" w:eastAsia="標楷體" w:hAnsi="標楷體" w:cs="Times New Roman" w:hint="eastAsia"/>
                <w:color w:val="FF0000"/>
                <w:sz w:val="22"/>
              </w:rPr>
              <w:t>，</w:t>
            </w:r>
            <w:r w:rsidR="00322DDF" w:rsidRPr="00322DDF">
              <w:rPr>
                <w:rFonts w:ascii="Times New Roman" w:eastAsia="標楷體" w:hAnsi="Times New Roman" w:cs="Times New Roman"/>
                <w:color w:val="FF0000"/>
                <w:sz w:val="22"/>
              </w:rPr>
              <w:t>應</w:t>
            </w:r>
            <w:proofErr w:type="gramStart"/>
            <w:r w:rsidR="00322DDF" w:rsidRPr="00322DDF">
              <w:rPr>
                <w:rFonts w:ascii="Times New Roman" w:eastAsia="標楷體" w:hAnsi="Times New Roman" w:cs="Times New Roman"/>
                <w:color w:val="FF0000"/>
                <w:sz w:val="22"/>
              </w:rPr>
              <w:t>設置洗眼</w:t>
            </w:r>
            <w:proofErr w:type="gramEnd"/>
            <w:r w:rsidR="00322DDF" w:rsidRPr="00322DDF">
              <w:rPr>
                <w:rFonts w:ascii="Times New Roman" w:eastAsia="標楷體" w:hAnsi="Times New Roman" w:cs="Times New Roman"/>
                <w:color w:val="FF0000"/>
                <w:sz w:val="22"/>
              </w:rPr>
              <w:t>、洗澡、漱口、更衣及洗濯等</w:t>
            </w:r>
            <w:proofErr w:type="gramStart"/>
            <w:r w:rsidR="00322DDF" w:rsidRPr="00322DDF">
              <w:rPr>
                <w:rFonts w:ascii="Times New Roman" w:eastAsia="標楷體" w:hAnsi="Times New Roman" w:cs="Times New Roman"/>
                <w:color w:val="FF0000"/>
                <w:sz w:val="22"/>
              </w:rPr>
              <w:t>設備應</w:t>
            </w:r>
            <w:r w:rsidR="00322DDF">
              <w:rPr>
                <w:rFonts w:ascii="Times New Roman" w:eastAsia="標楷體" w:hAnsi="Times New Roman" w:cs="Times New Roman" w:hint="eastAsia"/>
                <w:color w:val="FF0000"/>
                <w:sz w:val="22"/>
              </w:rPr>
              <w:t>丙一</w:t>
            </w:r>
            <w:proofErr w:type="gramEnd"/>
            <w:r w:rsidR="00322DDF">
              <w:rPr>
                <w:rFonts w:ascii="Times New Roman" w:eastAsia="標楷體" w:hAnsi="Times New Roman" w:cs="Times New Roman" w:hint="eastAsia"/>
                <w:color w:val="FF0000"/>
                <w:sz w:val="22"/>
              </w:rPr>
              <w:t>類</w:t>
            </w:r>
            <w:r w:rsidR="00C178E3">
              <w:rPr>
                <w:rFonts w:ascii="Times New Roman" w:eastAsia="標楷體" w:hAnsi="Times New Roman" w:cs="Times New Roman" w:hint="eastAsia"/>
                <w:color w:val="FF0000"/>
                <w:sz w:val="22"/>
              </w:rPr>
              <w:t>或</w:t>
            </w:r>
            <w:proofErr w:type="gramStart"/>
            <w:r w:rsidR="00C178E3">
              <w:rPr>
                <w:rFonts w:ascii="Times New Roman" w:eastAsia="標楷體" w:hAnsi="Times New Roman" w:cs="Times New Roman" w:hint="eastAsia"/>
                <w:color w:val="FF0000"/>
                <w:sz w:val="22"/>
              </w:rPr>
              <w:t>丁類</w:t>
            </w:r>
            <w:proofErr w:type="gramEnd"/>
            <w:r w:rsidR="00322DDF" w:rsidRPr="00322DDF">
              <w:rPr>
                <w:rFonts w:ascii="Times New Roman" w:eastAsia="標楷體" w:hAnsi="Times New Roman" w:cs="Times New Roman"/>
                <w:color w:val="FF0000"/>
                <w:sz w:val="22"/>
              </w:rPr>
              <w:t>另設置</w:t>
            </w:r>
            <w:proofErr w:type="gramStart"/>
            <w:r w:rsidR="00322DDF" w:rsidRPr="00322DDF">
              <w:rPr>
                <w:rFonts w:ascii="Times New Roman" w:eastAsia="標楷體" w:hAnsi="Times New Roman" w:cs="Times New Roman"/>
                <w:color w:val="FF0000"/>
                <w:sz w:val="22"/>
              </w:rPr>
              <w:t>緊急洗眼</w:t>
            </w:r>
            <w:proofErr w:type="gramEnd"/>
            <w:r w:rsidR="00322DDF" w:rsidRPr="00322DDF">
              <w:rPr>
                <w:rFonts w:ascii="Times New Roman" w:eastAsia="標楷體" w:hAnsi="Times New Roman" w:cs="Times New Roman"/>
                <w:color w:val="FF0000"/>
                <w:sz w:val="22"/>
              </w:rPr>
              <w:t>及沖淋設備</w:t>
            </w:r>
            <w:r w:rsidR="00322DDF">
              <w:rPr>
                <w:rFonts w:ascii="Times New Roman" w:eastAsia="標楷體" w:hAnsi="Times New Roman" w:cs="Times New Roman" w:hint="eastAsia"/>
                <w:color w:val="FF0000"/>
                <w:sz w:val="22"/>
              </w:rPr>
              <w:t>。</w:t>
            </w:r>
          </w:p>
        </w:tc>
      </w:tr>
      <w:tr w:rsidR="000110A7" w:rsidRPr="00B300E8" w14:paraId="537C95BB"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E08401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D90B30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DAF5E" w14:textId="1968FDCE"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19-1</w:t>
            </w:r>
            <w:r>
              <w:rPr>
                <w:rFonts w:ascii="Times New Roman" w:eastAsia="標楷體" w:hAnsi="Times New Roman" w:cs="Times New Roman" w:hint="eastAsia"/>
                <w:color w:val="FF0000"/>
                <w:sz w:val="22"/>
              </w:rPr>
              <w:t>9</w:t>
            </w:r>
          </w:p>
          <w:p w14:paraId="53314F16" w14:textId="7777777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雇主對受特定化學物質污染之破布、紙屑等，為防止勞工遭受危害，應收存於</w:t>
            </w:r>
            <w:proofErr w:type="gramStart"/>
            <w:r w:rsidRPr="00F80346">
              <w:rPr>
                <w:rFonts w:ascii="Times New Roman" w:eastAsia="標楷體" w:hAnsi="Times New Roman" w:cs="Times New Roman"/>
                <w:sz w:val="22"/>
              </w:rPr>
              <w:t>不</w:t>
            </w:r>
            <w:proofErr w:type="gramEnd"/>
            <w:r w:rsidRPr="00F80346">
              <w:rPr>
                <w:rFonts w:ascii="Times New Roman" w:eastAsia="標楷體" w:hAnsi="Times New Roman" w:cs="Times New Roman"/>
                <w:sz w:val="22"/>
              </w:rPr>
              <w:t>浸透性容器，並加栓、蓋等措施。</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19)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3F1A2" w14:textId="197C9BCC"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AA3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4F6EC" w14:textId="5C719F86" w:rsidR="000110A7" w:rsidRPr="00B300E8" w:rsidRDefault="00693424"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5192E2" w14:textId="2EB31E18" w:rsidR="000110A7" w:rsidRPr="00B300E8" w:rsidRDefault="00A403FE" w:rsidP="00806B81">
            <w:pPr>
              <w:pStyle w:val="Standard"/>
              <w:rPr>
                <w:rFonts w:ascii="Times New Roman" w:hAnsi="Times New Roman" w:cs="Times New Roman"/>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F37DC7">
              <w:rPr>
                <w:rFonts w:ascii="Times New Roman" w:eastAsia="標楷體" w:hAnsi="Times New Roman" w:cs="Times New Roman" w:hint="eastAsia"/>
                <w:color w:val="FF0000"/>
                <w:sz w:val="22"/>
              </w:rPr>
              <w:t>。</w:t>
            </w:r>
          </w:p>
        </w:tc>
      </w:tr>
      <w:tr w:rsidR="000110A7" w:rsidRPr="00B300E8" w14:paraId="7B44D3E1"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6D891886"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F7EB49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3C5A" w14:textId="10738753"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w:t>
            </w:r>
            <w:r>
              <w:rPr>
                <w:rFonts w:ascii="Times New Roman" w:eastAsia="標楷體" w:hAnsi="Times New Roman" w:cs="Times New Roman" w:hint="eastAsia"/>
                <w:color w:val="FF0000"/>
                <w:sz w:val="22"/>
              </w:rPr>
              <w:t>20</w:t>
            </w:r>
          </w:p>
          <w:p w14:paraId="7AE375BF" w14:textId="7777777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雇主應禁止勞工在特定化學物質作業場所吸菸或飲食，且應將其意旨揭示於該作業場所之顯明易見之處。</w:t>
            </w:r>
            <w:r w:rsidRPr="00F80346">
              <w:rPr>
                <w:rFonts w:ascii="Times New Roman" w:eastAsia="標楷體" w:hAnsi="Times New Roman" w:cs="Times New Roman"/>
                <w:sz w:val="22"/>
              </w:rPr>
              <w:t>(</w:t>
            </w:r>
            <w:r w:rsidRPr="00F80346">
              <w:rPr>
                <w:rFonts w:ascii="Times New Roman" w:eastAsia="標楷體" w:hAnsi="Times New Roman" w:cs="Times New Roman"/>
                <w:sz w:val="22"/>
              </w:rPr>
              <w:t>特化</w:t>
            </w:r>
            <w:r w:rsidRPr="00F80346">
              <w:rPr>
                <w:rFonts w:ascii="Times New Roman" w:eastAsia="標楷體" w:hAnsi="Times New Roman" w:cs="Times New Roman"/>
                <w:sz w:val="22"/>
              </w:rPr>
              <w:t>40)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91F9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EB45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9FD99" w14:textId="77777777" w:rsidR="000110A7" w:rsidRPr="00A403FE" w:rsidRDefault="000110A7" w:rsidP="00A403FE">
            <w:pPr>
              <w:pStyle w:val="Standard"/>
              <w:rPr>
                <w:rFonts w:ascii="標楷體" w:eastAsia="標楷體" w:hAnsi="標楷體" w:cs="Times New Roman"/>
                <w:color w:val="FF0000"/>
                <w:sz w:val="22"/>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992AEB3" w14:textId="16C27D05" w:rsidR="000110A7" w:rsidRPr="00A403FE" w:rsidRDefault="00A403FE" w:rsidP="00A403FE">
            <w:pPr>
              <w:pStyle w:val="Standard"/>
              <w:rPr>
                <w:rFonts w:ascii="標楷體" w:eastAsia="標楷體" w:hAnsi="標楷體" w:cs="Times New Roman"/>
                <w:color w:val="FF0000"/>
                <w:sz w:val="22"/>
              </w:rPr>
            </w:pPr>
            <w:r w:rsidRPr="00A403FE">
              <w:rPr>
                <w:rFonts w:ascii="標楷體" w:eastAsia="標楷體" w:hAnsi="標楷體" w:cs="Times New Roman" w:hint="eastAsia"/>
                <w:color w:val="FF0000"/>
                <w:sz w:val="22"/>
              </w:rPr>
              <w:t>使用</w:t>
            </w:r>
            <w:r w:rsidRPr="00A403FE">
              <w:rPr>
                <w:rFonts w:ascii="標楷體" w:eastAsia="標楷體" w:hAnsi="標楷體" w:cs="Times New Roman" w:hint="eastAsia"/>
                <w:color w:val="FF0000"/>
                <w:sz w:val="22"/>
                <w:bdr w:val="single" w:sz="4" w:space="0" w:color="auto"/>
              </w:rPr>
              <w:t>特定化學物質</w:t>
            </w:r>
            <w:r w:rsidRPr="00A403FE">
              <w:rPr>
                <w:rFonts w:ascii="標楷體" w:eastAsia="標楷體" w:hAnsi="標楷體" w:cs="Times New Roman" w:hint="eastAsia"/>
                <w:color w:val="FF0000"/>
                <w:sz w:val="22"/>
              </w:rPr>
              <w:t>實驗室注意</w:t>
            </w:r>
            <w:r w:rsidR="00F37DC7">
              <w:rPr>
                <w:rFonts w:ascii="標楷體" w:eastAsia="標楷體" w:hAnsi="標楷體" w:cs="Times New Roman" w:hint="eastAsia"/>
                <w:color w:val="FF0000"/>
                <w:sz w:val="22"/>
              </w:rPr>
              <w:t>，</w:t>
            </w:r>
            <w:r w:rsidR="00F37DC7" w:rsidRPr="00F37DC7">
              <w:rPr>
                <w:rFonts w:ascii="Times New Roman" w:eastAsia="標楷體" w:hAnsi="Times New Roman" w:cs="Times New Roman"/>
                <w:color w:val="FF0000"/>
                <w:sz w:val="22"/>
              </w:rPr>
              <w:t>禁止勞工在特定化學物質作業場所吸菸或飲食</w:t>
            </w:r>
            <w:r w:rsidR="00F37DC7">
              <w:rPr>
                <w:rFonts w:ascii="Times New Roman" w:eastAsia="標楷體" w:hAnsi="Times New Roman" w:cs="Times New Roman" w:hint="eastAsia"/>
                <w:color w:val="FF0000"/>
                <w:sz w:val="22"/>
              </w:rPr>
              <w:t>。</w:t>
            </w:r>
          </w:p>
        </w:tc>
      </w:tr>
      <w:tr w:rsidR="000110A7" w:rsidRPr="00B300E8" w14:paraId="4FCE6986" w14:textId="77777777" w:rsidTr="00806B81">
        <w:trPr>
          <w:cantSplit/>
          <w:trHeight w:val="898"/>
          <w:jc w:val="center"/>
        </w:trPr>
        <w:tc>
          <w:tcPr>
            <w:tcW w:w="871" w:type="dxa"/>
            <w:vMerge/>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1A814A30"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D07D93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97CB0" w14:textId="3946F26D" w:rsidR="00F80346" w:rsidRPr="00F80346" w:rsidRDefault="00F80346" w:rsidP="00F80346">
            <w:pPr>
              <w:suppressAutoHyphens/>
              <w:autoSpaceDN w:val="0"/>
              <w:spacing w:line="276" w:lineRule="auto"/>
              <w:jc w:val="both"/>
              <w:textAlignment w:val="baseline"/>
              <w:rPr>
                <w:rFonts w:ascii="Times New Roman" w:eastAsia="標楷體" w:hAnsi="Times New Roman" w:cs="Times New Roman"/>
                <w:color w:val="FF0000"/>
                <w:sz w:val="22"/>
              </w:rPr>
            </w:pPr>
            <w:r w:rsidRPr="00F80346">
              <w:rPr>
                <w:rFonts w:ascii="Times New Roman" w:eastAsia="標楷體" w:hAnsi="Times New Roman" w:cs="Times New Roman" w:hint="eastAsia"/>
                <w:color w:val="FF0000"/>
                <w:sz w:val="22"/>
              </w:rPr>
              <w:t>19</w:t>
            </w:r>
            <w:r>
              <w:rPr>
                <w:rFonts w:ascii="Times New Roman" w:eastAsia="標楷體" w:hAnsi="Times New Roman" w:cs="Times New Roman" w:hint="eastAsia"/>
                <w:color w:val="FF0000"/>
                <w:sz w:val="22"/>
              </w:rPr>
              <w:t>-21</w:t>
            </w:r>
          </w:p>
          <w:p w14:paraId="6124311F" w14:textId="77777777" w:rsidR="000110A7" w:rsidRPr="00F80346" w:rsidRDefault="000110A7" w:rsidP="00F80346">
            <w:pPr>
              <w:suppressAutoHyphens/>
              <w:autoSpaceDN w:val="0"/>
              <w:spacing w:line="276" w:lineRule="auto"/>
              <w:jc w:val="both"/>
              <w:textAlignment w:val="baseline"/>
              <w:rPr>
                <w:rFonts w:ascii="Times New Roman" w:eastAsia="標楷體" w:hAnsi="Times New Roman" w:cs="Times New Roman"/>
                <w:sz w:val="22"/>
              </w:rPr>
            </w:pPr>
            <w:r w:rsidRPr="00F80346">
              <w:rPr>
                <w:rFonts w:ascii="Times New Roman" w:eastAsia="標楷體" w:hAnsi="Times New Roman" w:cs="Times New Roman"/>
                <w:sz w:val="22"/>
              </w:rPr>
              <w:t>雇主使勞工製造、處置或使用之化學品，符合國家標準</w:t>
            </w:r>
            <w:r w:rsidRPr="00F80346">
              <w:rPr>
                <w:rFonts w:ascii="Times New Roman" w:eastAsia="標楷體" w:hAnsi="Times New Roman" w:cs="Times New Roman"/>
                <w:sz w:val="22"/>
              </w:rPr>
              <w:t>CNS15030</w:t>
            </w:r>
            <w:r w:rsidRPr="00F80346">
              <w:rPr>
                <w:rFonts w:ascii="Times New Roman" w:eastAsia="標楷體" w:hAnsi="Times New Roman" w:cs="Times New Roman"/>
                <w:sz w:val="22"/>
              </w:rPr>
              <w:t>化學品分類，具有健康危害者，應評估其危害及暴露程度，劃分風險等級，並採取對應之分級管理措施。</w:t>
            </w:r>
            <w:r w:rsidRPr="00F80346">
              <w:rPr>
                <w:rFonts w:ascii="Times New Roman" w:eastAsia="標楷體" w:hAnsi="Times New Roman" w:cs="Times New Roman"/>
                <w:sz w:val="22"/>
              </w:rPr>
              <w:t>(</w:t>
            </w:r>
            <w:proofErr w:type="gramStart"/>
            <w:r w:rsidRPr="00F80346">
              <w:rPr>
                <w:rFonts w:ascii="Times New Roman" w:eastAsia="標楷體" w:hAnsi="Times New Roman" w:cs="Times New Roman"/>
                <w:sz w:val="22"/>
              </w:rPr>
              <w:t>危化評估</w:t>
            </w:r>
            <w:proofErr w:type="gramEnd"/>
            <w:r w:rsidRPr="00F80346">
              <w:rPr>
                <w:rFonts w:ascii="Times New Roman" w:eastAsia="標楷體" w:hAnsi="Times New Roman" w:cs="Times New Roman"/>
                <w:sz w:val="22"/>
              </w:rPr>
              <w:t>分級</w:t>
            </w:r>
            <w:r w:rsidRPr="00F80346">
              <w:rPr>
                <w:rFonts w:ascii="Times New Roman" w:eastAsia="標楷體" w:hAnsi="Times New Roman" w:cs="Times New Roman"/>
                <w:sz w:val="22"/>
              </w:rPr>
              <w:t>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D6A12" w14:textId="77777777" w:rsidR="000110A7" w:rsidRPr="00032705" w:rsidRDefault="000110A7" w:rsidP="00806B81">
            <w:pPr>
              <w:pStyle w:val="Standard"/>
              <w:spacing w:line="276" w:lineRule="auto"/>
              <w:jc w:val="center"/>
              <w:rPr>
                <w:rFonts w:ascii="Times New Roman" w:eastAsia="標楷體" w:hAnsi="Times New Roman" w:cs="Times New Roman"/>
                <w:sz w:val="22"/>
              </w:rPr>
            </w:pPr>
            <w:r w:rsidRPr="00032705">
              <w:rPr>
                <w:rFonts w:ascii="Times New Roman" w:eastAsia="標楷體" w:hAnsi="Times New Roman" w:cs="Times New Roman" w:hint="eastAsia"/>
                <w:sz w:val="22"/>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B1F64" w14:textId="77777777" w:rsidR="000110A7" w:rsidRPr="00032705" w:rsidRDefault="000110A7" w:rsidP="00806B81">
            <w:pPr>
              <w:pStyle w:val="Standard"/>
              <w:spacing w:line="276" w:lineRule="auto"/>
              <w:jc w:val="center"/>
              <w:rPr>
                <w:rFonts w:ascii="Times New Roman" w:eastAsia="標楷體"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FF38E" w14:textId="77777777" w:rsidR="000110A7" w:rsidRPr="00032705" w:rsidRDefault="000110A7" w:rsidP="00806B81">
            <w:pPr>
              <w:pStyle w:val="Standard"/>
              <w:spacing w:line="276" w:lineRule="auto"/>
              <w:jc w:val="center"/>
              <w:rPr>
                <w:rFonts w:ascii="標楷體" w:eastAsia="標楷體" w:hAnsi="標楷體" w:cs="Times New Roman"/>
                <w:sz w:val="22"/>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8BF5937" w14:textId="77777777" w:rsidR="000110A7" w:rsidRPr="00A403FE" w:rsidRDefault="000110A7" w:rsidP="00806B81">
            <w:pPr>
              <w:pStyle w:val="Standard"/>
              <w:rPr>
                <w:rFonts w:ascii="標楷體" w:eastAsia="標楷體" w:hAnsi="標楷體" w:cs="Times New Roman"/>
                <w:color w:val="FF0000"/>
                <w:sz w:val="22"/>
              </w:rPr>
            </w:pPr>
            <w:r w:rsidRPr="00A403FE">
              <w:rPr>
                <w:rFonts w:ascii="標楷體" w:eastAsia="標楷體" w:hAnsi="標楷體" w:cs="Times New Roman" w:hint="eastAsia"/>
                <w:color w:val="FF0000"/>
                <w:sz w:val="22"/>
              </w:rPr>
              <w:t>113年實施危害化學品半定量及定量評估及分級</w:t>
            </w:r>
          </w:p>
        </w:tc>
      </w:tr>
      <w:tr w:rsidR="000110A7" w:rsidRPr="00B300E8" w14:paraId="5DB8E563" w14:textId="77777777" w:rsidTr="00806B81">
        <w:trPr>
          <w:cantSplit/>
          <w:trHeight w:val="756"/>
          <w:jc w:val="center"/>
        </w:trPr>
        <w:tc>
          <w:tcPr>
            <w:tcW w:w="871"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CB30BA7"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2D49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20E33" w14:textId="77777777" w:rsidR="00D00799" w:rsidRPr="00D00799" w:rsidRDefault="00D00799" w:rsidP="00D00799">
            <w:pPr>
              <w:suppressAutoHyphens/>
              <w:autoSpaceDN w:val="0"/>
              <w:spacing w:line="276" w:lineRule="auto"/>
              <w:jc w:val="both"/>
              <w:textAlignment w:val="baseline"/>
              <w:rPr>
                <w:rFonts w:ascii="Times New Roman" w:eastAsia="標楷體" w:hAnsi="Times New Roman" w:cs="Times New Roman"/>
                <w:color w:val="FF0000"/>
                <w:sz w:val="22"/>
              </w:rPr>
            </w:pPr>
            <w:r w:rsidRPr="00D00799">
              <w:rPr>
                <w:rFonts w:ascii="Times New Roman" w:eastAsia="標楷體" w:hAnsi="Times New Roman" w:cs="Times New Roman" w:hint="eastAsia"/>
                <w:color w:val="FF0000"/>
                <w:sz w:val="22"/>
              </w:rPr>
              <w:t>19-22</w:t>
            </w:r>
          </w:p>
          <w:p w14:paraId="2231A2C8" w14:textId="63D9D234" w:rsidR="000110A7" w:rsidRPr="00D00799" w:rsidRDefault="000110A7" w:rsidP="00D00799">
            <w:pPr>
              <w:suppressAutoHyphens/>
              <w:autoSpaceDN w:val="0"/>
              <w:spacing w:line="276" w:lineRule="auto"/>
              <w:jc w:val="both"/>
              <w:textAlignment w:val="baseline"/>
              <w:rPr>
                <w:rFonts w:ascii="Times New Roman" w:eastAsia="標楷體" w:hAnsi="Times New Roman" w:cs="Times New Roman"/>
                <w:sz w:val="22"/>
              </w:rPr>
            </w:pPr>
            <w:r w:rsidRPr="00D00799">
              <w:rPr>
                <w:rFonts w:ascii="Times New Roman" w:eastAsia="標楷體" w:hAnsi="Times New Roman" w:cs="Times New Roman"/>
                <w:sz w:val="22"/>
              </w:rPr>
              <w:t>運作者於運作管制性化學品前，應向中央主管機關申請許可，非經許可者，不得運作。</w:t>
            </w:r>
            <w:r w:rsidRPr="00D00799">
              <w:rPr>
                <w:rFonts w:ascii="Times New Roman" w:eastAsia="標楷體" w:hAnsi="Times New Roman" w:cs="Times New Roman"/>
                <w:sz w:val="22"/>
              </w:rPr>
              <w:t>(</w:t>
            </w:r>
            <w:r w:rsidRPr="00D00799">
              <w:rPr>
                <w:rFonts w:ascii="Times New Roman" w:eastAsia="標楷體" w:hAnsi="Times New Roman" w:cs="Times New Roman"/>
                <w:sz w:val="22"/>
              </w:rPr>
              <w:t>管制性化學品</w:t>
            </w:r>
            <w:r w:rsidRPr="00D00799">
              <w:rPr>
                <w:rFonts w:ascii="Times New Roman" w:eastAsia="標楷體" w:hAnsi="Times New Roman" w:cs="Times New Roman"/>
                <w:sz w:val="22"/>
              </w:rPr>
              <w:t>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E9FE8" w14:textId="77777777" w:rsidR="000110A7" w:rsidRPr="00032705" w:rsidRDefault="000110A7" w:rsidP="00806B81">
            <w:pPr>
              <w:pStyle w:val="Standard"/>
              <w:spacing w:line="276" w:lineRule="auto"/>
              <w:jc w:val="center"/>
              <w:rPr>
                <w:rFonts w:ascii="Times New Roman" w:eastAsia="標楷體"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96B89" w14:textId="77777777" w:rsidR="000110A7" w:rsidRPr="00032705" w:rsidRDefault="000110A7" w:rsidP="00806B81">
            <w:pPr>
              <w:pStyle w:val="Standard"/>
              <w:spacing w:line="276" w:lineRule="auto"/>
              <w:jc w:val="center"/>
              <w:rPr>
                <w:rFonts w:ascii="Times New Roman" w:eastAsia="標楷體"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F41F5" w14:textId="77777777" w:rsidR="000110A7" w:rsidRPr="00032705" w:rsidRDefault="000110A7" w:rsidP="00806B81">
            <w:pPr>
              <w:pStyle w:val="Standard"/>
              <w:spacing w:line="276" w:lineRule="auto"/>
              <w:jc w:val="center"/>
              <w:rPr>
                <w:rFonts w:ascii="Times New Roman" w:eastAsia="標楷體" w:hAnsi="Times New Roman" w:cs="Times New Roman"/>
                <w:sz w:val="22"/>
              </w:rPr>
            </w:pPr>
            <w:r w:rsidRPr="00032705">
              <w:rPr>
                <w:rFonts w:ascii="Times New Roman" w:eastAsia="標楷體" w:hAnsi="Times New Roman" w:cs="Times New Roman" w:hint="eastAsia"/>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DC23004" w14:textId="77777777" w:rsidR="000110A7" w:rsidRPr="00A403FE" w:rsidRDefault="000110A7" w:rsidP="00806B81">
            <w:pPr>
              <w:pStyle w:val="Standard"/>
              <w:rPr>
                <w:rFonts w:ascii="標楷體" w:eastAsia="標楷體" w:hAnsi="標楷體" w:cs="Times New Roman"/>
                <w:color w:val="FF0000"/>
                <w:sz w:val="22"/>
              </w:rPr>
            </w:pPr>
            <w:r w:rsidRPr="00A403FE">
              <w:rPr>
                <w:rFonts w:ascii="標楷體" w:eastAsia="標楷體" w:hAnsi="標楷體" w:cs="Times New Roman" w:hint="eastAsia"/>
                <w:color w:val="FF0000"/>
                <w:sz w:val="22"/>
              </w:rPr>
              <w:t>本校無管制性化學品</w:t>
            </w:r>
          </w:p>
        </w:tc>
      </w:tr>
    </w:tbl>
    <w:p w14:paraId="78DCE69B" w14:textId="77777777" w:rsidR="001112BE" w:rsidRPr="000110A7" w:rsidRDefault="001112BE" w:rsidP="001112BE">
      <w:pPr>
        <w:pStyle w:val="Standard"/>
        <w:spacing w:line="400" w:lineRule="exact"/>
        <w:rPr>
          <w:rFonts w:ascii="Times New Roman" w:eastAsia="標楷體" w:hAnsi="Times New Roman" w:cs="Times New Roman"/>
          <w:kern w:val="2"/>
          <w:sz w:val="22"/>
        </w:rPr>
      </w:pPr>
    </w:p>
    <w:p w14:paraId="13A4F0C2" w14:textId="15C31A84" w:rsidR="001112BE" w:rsidRPr="001112BE" w:rsidRDefault="001112BE" w:rsidP="001112BE">
      <w:pPr>
        <w:pStyle w:val="Standard"/>
        <w:spacing w:line="400" w:lineRule="exact"/>
        <w:rPr>
          <w:rFonts w:ascii="Times New Roman" w:eastAsia="標楷體" w:hAnsi="Times New Roman" w:cs="Times New Roman"/>
          <w:kern w:val="2"/>
          <w:sz w:val="28"/>
          <w:szCs w:val="28"/>
        </w:rPr>
      </w:pPr>
      <w:r w:rsidRPr="001112BE">
        <w:rPr>
          <w:rFonts w:ascii="Times New Roman" w:eastAsia="標楷體" w:hAnsi="Times New Roman" w:cs="Times New Roman" w:hint="eastAsia"/>
          <w:kern w:val="2"/>
          <w:sz w:val="28"/>
          <w:szCs w:val="28"/>
        </w:rPr>
        <w:t>工作場所負責人簽章</w:t>
      </w:r>
    </w:p>
    <w:sectPr w:rsidR="001112BE" w:rsidRPr="001112BE" w:rsidSect="00FF5C94">
      <w:footerReference w:type="default" r:id="rId10"/>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7A15" w14:textId="77777777" w:rsidR="00C44EB1" w:rsidRDefault="00C44EB1">
      <w:r>
        <w:separator/>
      </w:r>
    </w:p>
  </w:endnote>
  <w:endnote w:type="continuationSeparator" w:id="0">
    <w:p w14:paraId="7B4D0986" w14:textId="77777777" w:rsidR="00C44EB1" w:rsidRDefault="00C4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94003"/>
      <w:docPartObj>
        <w:docPartGallery w:val="Page Numbers (Bottom of Page)"/>
        <w:docPartUnique/>
      </w:docPartObj>
    </w:sdtPr>
    <w:sdtEndPr/>
    <w:sdtContent>
      <w:p w14:paraId="2F5F2D5F" w14:textId="69524481" w:rsidR="00DD14CE" w:rsidRDefault="00DD14CE">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DD14CE" w:rsidRDefault="00DD14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C3EE2" w14:textId="77777777" w:rsidR="00C44EB1" w:rsidRDefault="00C44EB1">
      <w:r>
        <w:separator/>
      </w:r>
    </w:p>
  </w:footnote>
  <w:footnote w:type="continuationSeparator" w:id="0">
    <w:p w14:paraId="23BB6C24" w14:textId="77777777" w:rsidR="00C44EB1" w:rsidRDefault="00C44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791728F"/>
    <w:multiLevelType w:val="hybridMultilevel"/>
    <w:tmpl w:val="D6F4C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7"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8"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7"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5" w15:restartNumberingAfterBreak="0">
    <w:nsid w:val="2CA56700"/>
    <w:multiLevelType w:val="hybridMultilevel"/>
    <w:tmpl w:val="A9F258EA"/>
    <w:lvl w:ilvl="0" w:tplc="821861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31"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7"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40"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2"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3"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6"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8"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0"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51"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2"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3"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5"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8"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0"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1"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2"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4"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6"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8"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9"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0"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1"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3"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6"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7"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8"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9"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5"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9"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1"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2"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72"/>
  </w:num>
  <w:num w:numId="3">
    <w:abstractNumId w:val="62"/>
  </w:num>
  <w:num w:numId="4">
    <w:abstractNumId w:val="58"/>
  </w:num>
  <w:num w:numId="5">
    <w:abstractNumId w:val="77"/>
  </w:num>
  <w:num w:numId="6">
    <w:abstractNumId w:val="23"/>
  </w:num>
  <w:num w:numId="7">
    <w:abstractNumId w:val="59"/>
  </w:num>
  <w:num w:numId="8">
    <w:abstractNumId w:val="90"/>
  </w:num>
  <w:num w:numId="9">
    <w:abstractNumId w:val="86"/>
  </w:num>
  <w:num w:numId="10">
    <w:abstractNumId w:val="78"/>
  </w:num>
  <w:num w:numId="11">
    <w:abstractNumId w:val="71"/>
  </w:num>
  <w:num w:numId="12">
    <w:abstractNumId w:val="35"/>
  </w:num>
  <w:num w:numId="13">
    <w:abstractNumId w:val="12"/>
  </w:num>
  <w:num w:numId="14">
    <w:abstractNumId w:val="51"/>
  </w:num>
  <w:num w:numId="15">
    <w:abstractNumId w:val="67"/>
  </w:num>
  <w:num w:numId="16">
    <w:abstractNumId w:val="0"/>
  </w:num>
  <w:num w:numId="17">
    <w:abstractNumId w:val="13"/>
  </w:num>
  <w:num w:numId="18">
    <w:abstractNumId w:val="55"/>
  </w:num>
  <w:num w:numId="19">
    <w:abstractNumId w:val="15"/>
  </w:num>
  <w:num w:numId="20">
    <w:abstractNumId w:val="74"/>
  </w:num>
  <w:num w:numId="21">
    <w:abstractNumId w:val="47"/>
  </w:num>
  <w:num w:numId="22">
    <w:abstractNumId w:val="76"/>
  </w:num>
  <w:num w:numId="23">
    <w:abstractNumId w:val="28"/>
  </w:num>
  <w:num w:numId="24">
    <w:abstractNumId w:val="92"/>
  </w:num>
  <w:num w:numId="25">
    <w:abstractNumId w:val="68"/>
  </w:num>
  <w:num w:numId="26">
    <w:abstractNumId w:val="60"/>
  </w:num>
  <w:num w:numId="27">
    <w:abstractNumId w:val="53"/>
  </w:num>
  <w:num w:numId="28">
    <w:abstractNumId w:val="27"/>
  </w:num>
  <w:num w:numId="29">
    <w:abstractNumId w:val="70"/>
  </w:num>
  <w:num w:numId="30">
    <w:abstractNumId w:val="50"/>
  </w:num>
  <w:num w:numId="31">
    <w:abstractNumId w:val="7"/>
  </w:num>
  <w:num w:numId="32">
    <w:abstractNumId w:val="26"/>
  </w:num>
  <w:num w:numId="33">
    <w:abstractNumId w:val="36"/>
  </w:num>
  <w:num w:numId="34">
    <w:abstractNumId w:val="54"/>
  </w:num>
  <w:num w:numId="35">
    <w:abstractNumId w:val="34"/>
  </w:num>
  <w:num w:numId="36">
    <w:abstractNumId w:val="64"/>
  </w:num>
  <w:num w:numId="37">
    <w:abstractNumId w:val="18"/>
  </w:num>
  <w:num w:numId="38">
    <w:abstractNumId w:val="46"/>
  </w:num>
  <w:num w:numId="39">
    <w:abstractNumId w:val="16"/>
  </w:num>
  <w:num w:numId="40">
    <w:abstractNumId w:val="61"/>
  </w:num>
  <w:num w:numId="41">
    <w:abstractNumId w:val="30"/>
  </w:num>
  <w:num w:numId="42">
    <w:abstractNumId w:val="24"/>
  </w:num>
  <w:num w:numId="43">
    <w:abstractNumId w:val="1"/>
  </w:num>
  <w:num w:numId="44">
    <w:abstractNumId w:val="21"/>
  </w:num>
  <w:num w:numId="45">
    <w:abstractNumId w:val="2"/>
  </w:num>
  <w:num w:numId="46">
    <w:abstractNumId w:val="17"/>
  </w:num>
  <w:num w:numId="47">
    <w:abstractNumId w:val="10"/>
  </w:num>
  <w:num w:numId="48">
    <w:abstractNumId w:val="40"/>
  </w:num>
  <w:num w:numId="49">
    <w:abstractNumId w:val="45"/>
  </w:num>
  <w:num w:numId="50">
    <w:abstractNumId w:val="37"/>
  </w:num>
  <w:num w:numId="51">
    <w:abstractNumId w:val="73"/>
  </w:num>
  <w:num w:numId="52">
    <w:abstractNumId w:val="19"/>
  </w:num>
  <w:num w:numId="53">
    <w:abstractNumId w:val="69"/>
  </w:num>
  <w:num w:numId="54">
    <w:abstractNumId w:val="88"/>
  </w:num>
  <w:num w:numId="55">
    <w:abstractNumId w:val="14"/>
  </w:num>
  <w:num w:numId="56">
    <w:abstractNumId w:val="9"/>
  </w:num>
  <w:num w:numId="57">
    <w:abstractNumId w:val="66"/>
  </w:num>
  <w:num w:numId="58">
    <w:abstractNumId w:val="29"/>
  </w:num>
  <w:num w:numId="59">
    <w:abstractNumId w:val="38"/>
  </w:num>
  <w:num w:numId="60">
    <w:abstractNumId w:val="87"/>
  </w:num>
  <w:num w:numId="61">
    <w:abstractNumId w:val="91"/>
  </w:num>
  <w:num w:numId="62">
    <w:abstractNumId w:val="3"/>
  </w:num>
  <w:num w:numId="63">
    <w:abstractNumId w:val="82"/>
  </w:num>
  <w:num w:numId="64">
    <w:abstractNumId w:val="42"/>
  </w:num>
  <w:num w:numId="65">
    <w:abstractNumId w:val="81"/>
  </w:num>
  <w:num w:numId="66">
    <w:abstractNumId w:val="41"/>
  </w:num>
  <w:num w:numId="67">
    <w:abstractNumId w:val="8"/>
  </w:num>
  <w:num w:numId="68">
    <w:abstractNumId w:val="75"/>
  </w:num>
  <w:num w:numId="69">
    <w:abstractNumId w:val="85"/>
  </w:num>
  <w:num w:numId="70">
    <w:abstractNumId w:val="22"/>
  </w:num>
  <w:num w:numId="71">
    <w:abstractNumId w:val="49"/>
  </w:num>
  <w:num w:numId="72">
    <w:abstractNumId w:val="65"/>
  </w:num>
  <w:num w:numId="73">
    <w:abstractNumId w:val="89"/>
  </w:num>
  <w:num w:numId="74">
    <w:abstractNumId w:val="5"/>
  </w:num>
  <w:num w:numId="75">
    <w:abstractNumId w:val="6"/>
  </w:num>
  <w:num w:numId="76">
    <w:abstractNumId w:val="57"/>
  </w:num>
  <w:num w:numId="77">
    <w:abstractNumId w:val="32"/>
  </w:num>
  <w:num w:numId="78">
    <w:abstractNumId w:val="31"/>
  </w:num>
  <w:num w:numId="79">
    <w:abstractNumId w:val="20"/>
  </w:num>
  <w:num w:numId="80">
    <w:abstractNumId w:val="52"/>
  </w:num>
  <w:num w:numId="81">
    <w:abstractNumId w:val="84"/>
  </w:num>
  <w:num w:numId="82">
    <w:abstractNumId w:val="48"/>
  </w:num>
  <w:num w:numId="83">
    <w:abstractNumId w:val="80"/>
  </w:num>
  <w:num w:numId="84">
    <w:abstractNumId w:val="83"/>
  </w:num>
  <w:num w:numId="85">
    <w:abstractNumId w:val="56"/>
  </w:num>
  <w:num w:numId="86">
    <w:abstractNumId w:val="43"/>
  </w:num>
  <w:num w:numId="87">
    <w:abstractNumId w:val="79"/>
  </w:num>
  <w:num w:numId="88">
    <w:abstractNumId w:val="33"/>
  </w:num>
  <w:num w:numId="89">
    <w:abstractNumId w:val="63"/>
  </w:num>
  <w:num w:numId="90">
    <w:abstractNumId w:val="39"/>
  </w:num>
  <w:num w:numId="91">
    <w:abstractNumId w:val="44"/>
  </w:num>
  <w:num w:numId="92">
    <w:abstractNumId w:val="25"/>
  </w:num>
  <w:num w:numId="93">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0247D"/>
    <w:rsid w:val="000110A7"/>
    <w:rsid w:val="00015EC9"/>
    <w:rsid w:val="0002640F"/>
    <w:rsid w:val="000319F4"/>
    <w:rsid w:val="00032705"/>
    <w:rsid w:val="0004454E"/>
    <w:rsid w:val="00053D7E"/>
    <w:rsid w:val="00060C88"/>
    <w:rsid w:val="00060DD6"/>
    <w:rsid w:val="0006613F"/>
    <w:rsid w:val="00075836"/>
    <w:rsid w:val="00080A02"/>
    <w:rsid w:val="00083319"/>
    <w:rsid w:val="000945F0"/>
    <w:rsid w:val="00095B74"/>
    <w:rsid w:val="000966A0"/>
    <w:rsid w:val="00096C40"/>
    <w:rsid w:val="000A283B"/>
    <w:rsid w:val="000A331A"/>
    <w:rsid w:val="000A6F0C"/>
    <w:rsid w:val="000B0343"/>
    <w:rsid w:val="000B7087"/>
    <w:rsid w:val="000C163D"/>
    <w:rsid w:val="000C59E9"/>
    <w:rsid w:val="000D1FE1"/>
    <w:rsid w:val="000E203C"/>
    <w:rsid w:val="000E2FCB"/>
    <w:rsid w:val="000E3C9D"/>
    <w:rsid w:val="000F1F7B"/>
    <w:rsid w:val="000F266B"/>
    <w:rsid w:val="000F78D7"/>
    <w:rsid w:val="0010081E"/>
    <w:rsid w:val="00103749"/>
    <w:rsid w:val="001053F7"/>
    <w:rsid w:val="00106D94"/>
    <w:rsid w:val="0011026D"/>
    <w:rsid w:val="0011098E"/>
    <w:rsid w:val="001112BE"/>
    <w:rsid w:val="00127C93"/>
    <w:rsid w:val="00137D85"/>
    <w:rsid w:val="00145BF5"/>
    <w:rsid w:val="00154E1C"/>
    <w:rsid w:val="001572CD"/>
    <w:rsid w:val="001576AC"/>
    <w:rsid w:val="00171EE3"/>
    <w:rsid w:val="00172F6B"/>
    <w:rsid w:val="00173178"/>
    <w:rsid w:val="00174974"/>
    <w:rsid w:val="00175EF0"/>
    <w:rsid w:val="00176CCB"/>
    <w:rsid w:val="00176EF0"/>
    <w:rsid w:val="00176F87"/>
    <w:rsid w:val="001771B9"/>
    <w:rsid w:val="001803FC"/>
    <w:rsid w:val="00181AFF"/>
    <w:rsid w:val="0018425D"/>
    <w:rsid w:val="001878C4"/>
    <w:rsid w:val="00197553"/>
    <w:rsid w:val="001A53BC"/>
    <w:rsid w:val="001A5E5D"/>
    <w:rsid w:val="001A6999"/>
    <w:rsid w:val="001B2871"/>
    <w:rsid w:val="001B335A"/>
    <w:rsid w:val="001C1C96"/>
    <w:rsid w:val="001C5049"/>
    <w:rsid w:val="001D2D7A"/>
    <w:rsid w:val="001D74BF"/>
    <w:rsid w:val="001E136F"/>
    <w:rsid w:val="001E1544"/>
    <w:rsid w:val="001E2F28"/>
    <w:rsid w:val="001E44F2"/>
    <w:rsid w:val="001E4DAE"/>
    <w:rsid w:val="001E5E2A"/>
    <w:rsid w:val="001F795F"/>
    <w:rsid w:val="002112D8"/>
    <w:rsid w:val="00217480"/>
    <w:rsid w:val="00217C62"/>
    <w:rsid w:val="002221D5"/>
    <w:rsid w:val="00222469"/>
    <w:rsid w:val="002307B8"/>
    <w:rsid w:val="00240668"/>
    <w:rsid w:val="002415D1"/>
    <w:rsid w:val="0024737F"/>
    <w:rsid w:val="00250F48"/>
    <w:rsid w:val="00251B9B"/>
    <w:rsid w:val="00263231"/>
    <w:rsid w:val="00263B12"/>
    <w:rsid w:val="00264620"/>
    <w:rsid w:val="0028279D"/>
    <w:rsid w:val="00282ECD"/>
    <w:rsid w:val="002916B2"/>
    <w:rsid w:val="00292B46"/>
    <w:rsid w:val="00295B71"/>
    <w:rsid w:val="00295CF6"/>
    <w:rsid w:val="002A37CC"/>
    <w:rsid w:val="002A4694"/>
    <w:rsid w:val="002B4F91"/>
    <w:rsid w:val="002C0DEE"/>
    <w:rsid w:val="002C1068"/>
    <w:rsid w:val="002C1458"/>
    <w:rsid w:val="002C3A40"/>
    <w:rsid w:val="002C3C04"/>
    <w:rsid w:val="002D2254"/>
    <w:rsid w:val="002E03C0"/>
    <w:rsid w:val="002E1227"/>
    <w:rsid w:val="002E7816"/>
    <w:rsid w:val="00303634"/>
    <w:rsid w:val="0030506C"/>
    <w:rsid w:val="00307B2F"/>
    <w:rsid w:val="00307C0E"/>
    <w:rsid w:val="00321943"/>
    <w:rsid w:val="00322DDF"/>
    <w:rsid w:val="0032317F"/>
    <w:rsid w:val="003248FF"/>
    <w:rsid w:val="00326838"/>
    <w:rsid w:val="0032707D"/>
    <w:rsid w:val="003270CA"/>
    <w:rsid w:val="00334F06"/>
    <w:rsid w:val="00337DA8"/>
    <w:rsid w:val="00342520"/>
    <w:rsid w:val="0034434C"/>
    <w:rsid w:val="0034453B"/>
    <w:rsid w:val="00344A64"/>
    <w:rsid w:val="00347574"/>
    <w:rsid w:val="00347C1B"/>
    <w:rsid w:val="00351072"/>
    <w:rsid w:val="00361B6E"/>
    <w:rsid w:val="003623FB"/>
    <w:rsid w:val="00363803"/>
    <w:rsid w:val="003668F6"/>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5D8D"/>
    <w:rsid w:val="003D630F"/>
    <w:rsid w:val="003D6E49"/>
    <w:rsid w:val="003F0EA6"/>
    <w:rsid w:val="00406E13"/>
    <w:rsid w:val="00411F4A"/>
    <w:rsid w:val="00412200"/>
    <w:rsid w:val="00436A19"/>
    <w:rsid w:val="00442296"/>
    <w:rsid w:val="00447A89"/>
    <w:rsid w:val="00460BAF"/>
    <w:rsid w:val="00472A3A"/>
    <w:rsid w:val="00476991"/>
    <w:rsid w:val="004775CB"/>
    <w:rsid w:val="00480CB6"/>
    <w:rsid w:val="00485FC6"/>
    <w:rsid w:val="00486277"/>
    <w:rsid w:val="00495B30"/>
    <w:rsid w:val="00497A25"/>
    <w:rsid w:val="004A0558"/>
    <w:rsid w:val="004A2D7D"/>
    <w:rsid w:val="004A4491"/>
    <w:rsid w:val="004A5F45"/>
    <w:rsid w:val="004A5F9B"/>
    <w:rsid w:val="004A6A82"/>
    <w:rsid w:val="004B0FB2"/>
    <w:rsid w:val="004B1635"/>
    <w:rsid w:val="004C00C5"/>
    <w:rsid w:val="004C2BF1"/>
    <w:rsid w:val="004C5D24"/>
    <w:rsid w:val="004D3B0C"/>
    <w:rsid w:val="004D40B9"/>
    <w:rsid w:val="004D6AEF"/>
    <w:rsid w:val="004D7AC3"/>
    <w:rsid w:val="004E210A"/>
    <w:rsid w:val="004F0525"/>
    <w:rsid w:val="004F4F1F"/>
    <w:rsid w:val="00503058"/>
    <w:rsid w:val="0050435B"/>
    <w:rsid w:val="00515657"/>
    <w:rsid w:val="00521E0B"/>
    <w:rsid w:val="005276F0"/>
    <w:rsid w:val="005424F0"/>
    <w:rsid w:val="0054460A"/>
    <w:rsid w:val="00553DAC"/>
    <w:rsid w:val="005661E2"/>
    <w:rsid w:val="00566E27"/>
    <w:rsid w:val="005702A4"/>
    <w:rsid w:val="00572040"/>
    <w:rsid w:val="00572480"/>
    <w:rsid w:val="00577C3B"/>
    <w:rsid w:val="00586B8D"/>
    <w:rsid w:val="0058789D"/>
    <w:rsid w:val="00591F17"/>
    <w:rsid w:val="00596C92"/>
    <w:rsid w:val="0059709C"/>
    <w:rsid w:val="005A6877"/>
    <w:rsid w:val="005D3B17"/>
    <w:rsid w:val="005D3FCE"/>
    <w:rsid w:val="005D5E2A"/>
    <w:rsid w:val="005E63C0"/>
    <w:rsid w:val="00600ECB"/>
    <w:rsid w:val="00610B41"/>
    <w:rsid w:val="006128B3"/>
    <w:rsid w:val="00615344"/>
    <w:rsid w:val="00616C77"/>
    <w:rsid w:val="0062003A"/>
    <w:rsid w:val="00630A3E"/>
    <w:rsid w:val="00635534"/>
    <w:rsid w:val="006410A4"/>
    <w:rsid w:val="0064421C"/>
    <w:rsid w:val="00645C08"/>
    <w:rsid w:val="00653D05"/>
    <w:rsid w:val="00655426"/>
    <w:rsid w:val="006632B6"/>
    <w:rsid w:val="00671BAF"/>
    <w:rsid w:val="0067300D"/>
    <w:rsid w:val="0068087C"/>
    <w:rsid w:val="00680EB4"/>
    <w:rsid w:val="006921E7"/>
    <w:rsid w:val="00693424"/>
    <w:rsid w:val="0069527C"/>
    <w:rsid w:val="0069739C"/>
    <w:rsid w:val="006A17F9"/>
    <w:rsid w:val="006B21AC"/>
    <w:rsid w:val="006B30E5"/>
    <w:rsid w:val="006B660E"/>
    <w:rsid w:val="006C2B4E"/>
    <w:rsid w:val="006C365F"/>
    <w:rsid w:val="006C442D"/>
    <w:rsid w:val="006D0EA7"/>
    <w:rsid w:val="006D202F"/>
    <w:rsid w:val="006E08FE"/>
    <w:rsid w:val="006E2F89"/>
    <w:rsid w:val="006E5081"/>
    <w:rsid w:val="006E537A"/>
    <w:rsid w:val="006E6F04"/>
    <w:rsid w:val="006F3907"/>
    <w:rsid w:val="006F5D36"/>
    <w:rsid w:val="00702AA9"/>
    <w:rsid w:val="00707514"/>
    <w:rsid w:val="007138BB"/>
    <w:rsid w:val="00723A1D"/>
    <w:rsid w:val="00724A5B"/>
    <w:rsid w:val="00732FFF"/>
    <w:rsid w:val="00743796"/>
    <w:rsid w:val="007570B1"/>
    <w:rsid w:val="00757570"/>
    <w:rsid w:val="00762963"/>
    <w:rsid w:val="0076436E"/>
    <w:rsid w:val="00764C8C"/>
    <w:rsid w:val="00765C5B"/>
    <w:rsid w:val="00777088"/>
    <w:rsid w:val="007810F6"/>
    <w:rsid w:val="0078460C"/>
    <w:rsid w:val="00791279"/>
    <w:rsid w:val="0079288A"/>
    <w:rsid w:val="007A3CD5"/>
    <w:rsid w:val="007B043C"/>
    <w:rsid w:val="007B2DF6"/>
    <w:rsid w:val="007B2F11"/>
    <w:rsid w:val="007B5603"/>
    <w:rsid w:val="007C0F37"/>
    <w:rsid w:val="007C13A7"/>
    <w:rsid w:val="007D2045"/>
    <w:rsid w:val="007E5E5D"/>
    <w:rsid w:val="007F3DF3"/>
    <w:rsid w:val="007F5000"/>
    <w:rsid w:val="007F68A9"/>
    <w:rsid w:val="007F6BA5"/>
    <w:rsid w:val="008032EA"/>
    <w:rsid w:val="00804294"/>
    <w:rsid w:val="008074BD"/>
    <w:rsid w:val="00812C0B"/>
    <w:rsid w:val="0082264C"/>
    <w:rsid w:val="00831E51"/>
    <w:rsid w:val="00835BB2"/>
    <w:rsid w:val="0083746A"/>
    <w:rsid w:val="0084045B"/>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0B44"/>
    <w:rsid w:val="009219D8"/>
    <w:rsid w:val="00922EE5"/>
    <w:rsid w:val="00932FB5"/>
    <w:rsid w:val="0093388F"/>
    <w:rsid w:val="009379ED"/>
    <w:rsid w:val="00940B33"/>
    <w:rsid w:val="00945182"/>
    <w:rsid w:val="00947247"/>
    <w:rsid w:val="00950B30"/>
    <w:rsid w:val="00951DEE"/>
    <w:rsid w:val="00957328"/>
    <w:rsid w:val="00961C69"/>
    <w:rsid w:val="009640D9"/>
    <w:rsid w:val="00966283"/>
    <w:rsid w:val="009662D6"/>
    <w:rsid w:val="00967A76"/>
    <w:rsid w:val="009747DF"/>
    <w:rsid w:val="00983FD8"/>
    <w:rsid w:val="00984F9B"/>
    <w:rsid w:val="00985BCE"/>
    <w:rsid w:val="00985D69"/>
    <w:rsid w:val="00987497"/>
    <w:rsid w:val="009908B8"/>
    <w:rsid w:val="009B0F43"/>
    <w:rsid w:val="009B1838"/>
    <w:rsid w:val="009B4DEC"/>
    <w:rsid w:val="009B66F3"/>
    <w:rsid w:val="009B7E13"/>
    <w:rsid w:val="009C37C0"/>
    <w:rsid w:val="009C4F9A"/>
    <w:rsid w:val="009C7254"/>
    <w:rsid w:val="009D0E0F"/>
    <w:rsid w:val="009D21DA"/>
    <w:rsid w:val="009D450B"/>
    <w:rsid w:val="009D5E97"/>
    <w:rsid w:val="009D7168"/>
    <w:rsid w:val="009D753D"/>
    <w:rsid w:val="009E7340"/>
    <w:rsid w:val="009F65B3"/>
    <w:rsid w:val="00A04843"/>
    <w:rsid w:val="00A07BAF"/>
    <w:rsid w:val="00A10E54"/>
    <w:rsid w:val="00A17219"/>
    <w:rsid w:val="00A229CC"/>
    <w:rsid w:val="00A269FB"/>
    <w:rsid w:val="00A26A36"/>
    <w:rsid w:val="00A33590"/>
    <w:rsid w:val="00A403FE"/>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2E1C"/>
    <w:rsid w:val="00AE55C8"/>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126D"/>
    <w:rsid w:val="00BE4EB2"/>
    <w:rsid w:val="00BE5CE9"/>
    <w:rsid w:val="00BF015F"/>
    <w:rsid w:val="00BF37F5"/>
    <w:rsid w:val="00C0020D"/>
    <w:rsid w:val="00C15772"/>
    <w:rsid w:val="00C15EAB"/>
    <w:rsid w:val="00C174E6"/>
    <w:rsid w:val="00C178E3"/>
    <w:rsid w:val="00C2666F"/>
    <w:rsid w:val="00C269E3"/>
    <w:rsid w:val="00C26A1D"/>
    <w:rsid w:val="00C26CD2"/>
    <w:rsid w:val="00C27392"/>
    <w:rsid w:val="00C319A3"/>
    <w:rsid w:val="00C338FB"/>
    <w:rsid w:val="00C42145"/>
    <w:rsid w:val="00C44EB1"/>
    <w:rsid w:val="00C45877"/>
    <w:rsid w:val="00C47605"/>
    <w:rsid w:val="00C5350F"/>
    <w:rsid w:val="00C73082"/>
    <w:rsid w:val="00C73F58"/>
    <w:rsid w:val="00C955A3"/>
    <w:rsid w:val="00C96B7B"/>
    <w:rsid w:val="00CA18D6"/>
    <w:rsid w:val="00CA3B75"/>
    <w:rsid w:val="00CA5AC9"/>
    <w:rsid w:val="00CA6744"/>
    <w:rsid w:val="00CB44B3"/>
    <w:rsid w:val="00CB4940"/>
    <w:rsid w:val="00CB6D72"/>
    <w:rsid w:val="00CB7F01"/>
    <w:rsid w:val="00CC4946"/>
    <w:rsid w:val="00CD1452"/>
    <w:rsid w:val="00CD6A69"/>
    <w:rsid w:val="00CE0641"/>
    <w:rsid w:val="00CE134F"/>
    <w:rsid w:val="00CE1CE9"/>
    <w:rsid w:val="00CE63D4"/>
    <w:rsid w:val="00D00799"/>
    <w:rsid w:val="00D0115F"/>
    <w:rsid w:val="00D137EE"/>
    <w:rsid w:val="00D16D43"/>
    <w:rsid w:val="00D25DE2"/>
    <w:rsid w:val="00D37267"/>
    <w:rsid w:val="00D37611"/>
    <w:rsid w:val="00D3763C"/>
    <w:rsid w:val="00D376FB"/>
    <w:rsid w:val="00D51DBC"/>
    <w:rsid w:val="00D5630C"/>
    <w:rsid w:val="00D610DB"/>
    <w:rsid w:val="00D62D90"/>
    <w:rsid w:val="00D6460F"/>
    <w:rsid w:val="00D71C63"/>
    <w:rsid w:val="00D77FA9"/>
    <w:rsid w:val="00D83261"/>
    <w:rsid w:val="00D8591D"/>
    <w:rsid w:val="00D85D52"/>
    <w:rsid w:val="00D868EF"/>
    <w:rsid w:val="00D874AD"/>
    <w:rsid w:val="00DA0E89"/>
    <w:rsid w:val="00DA2F88"/>
    <w:rsid w:val="00DA37C8"/>
    <w:rsid w:val="00DA427A"/>
    <w:rsid w:val="00DA7FCB"/>
    <w:rsid w:val="00DB26D6"/>
    <w:rsid w:val="00DB4240"/>
    <w:rsid w:val="00DB42C8"/>
    <w:rsid w:val="00DC15C3"/>
    <w:rsid w:val="00DD02A0"/>
    <w:rsid w:val="00DD14CE"/>
    <w:rsid w:val="00DD69A0"/>
    <w:rsid w:val="00DE48F2"/>
    <w:rsid w:val="00DE69B4"/>
    <w:rsid w:val="00DF4FA2"/>
    <w:rsid w:val="00DF596B"/>
    <w:rsid w:val="00E00A5C"/>
    <w:rsid w:val="00E016E0"/>
    <w:rsid w:val="00E03CDA"/>
    <w:rsid w:val="00E04F7F"/>
    <w:rsid w:val="00E11260"/>
    <w:rsid w:val="00E16E2A"/>
    <w:rsid w:val="00E20191"/>
    <w:rsid w:val="00E21BB5"/>
    <w:rsid w:val="00E22DAC"/>
    <w:rsid w:val="00E24FF1"/>
    <w:rsid w:val="00E253E3"/>
    <w:rsid w:val="00E26E54"/>
    <w:rsid w:val="00E33BC0"/>
    <w:rsid w:val="00E40FEF"/>
    <w:rsid w:val="00E46D80"/>
    <w:rsid w:val="00E62872"/>
    <w:rsid w:val="00E663E7"/>
    <w:rsid w:val="00E81D16"/>
    <w:rsid w:val="00E95357"/>
    <w:rsid w:val="00EA5ED2"/>
    <w:rsid w:val="00EB0282"/>
    <w:rsid w:val="00EB0F5D"/>
    <w:rsid w:val="00EB2E94"/>
    <w:rsid w:val="00EB3DC4"/>
    <w:rsid w:val="00EC43F4"/>
    <w:rsid w:val="00EC4667"/>
    <w:rsid w:val="00ED00F1"/>
    <w:rsid w:val="00ED2421"/>
    <w:rsid w:val="00ED29B6"/>
    <w:rsid w:val="00ED34B9"/>
    <w:rsid w:val="00ED578B"/>
    <w:rsid w:val="00ED782A"/>
    <w:rsid w:val="00EE3C48"/>
    <w:rsid w:val="00EE7D59"/>
    <w:rsid w:val="00EF03D6"/>
    <w:rsid w:val="00EF3AFD"/>
    <w:rsid w:val="00F0709B"/>
    <w:rsid w:val="00F142AF"/>
    <w:rsid w:val="00F220B2"/>
    <w:rsid w:val="00F22EA4"/>
    <w:rsid w:val="00F24175"/>
    <w:rsid w:val="00F2518F"/>
    <w:rsid w:val="00F261DA"/>
    <w:rsid w:val="00F26715"/>
    <w:rsid w:val="00F3570D"/>
    <w:rsid w:val="00F37DC7"/>
    <w:rsid w:val="00F4078F"/>
    <w:rsid w:val="00F50A9A"/>
    <w:rsid w:val="00F548CF"/>
    <w:rsid w:val="00F70FE0"/>
    <w:rsid w:val="00F7384A"/>
    <w:rsid w:val="00F73F9F"/>
    <w:rsid w:val="00F80346"/>
    <w:rsid w:val="00F80DD2"/>
    <w:rsid w:val="00F84274"/>
    <w:rsid w:val="00FA18FB"/>
    <w:rsid w:val="00FA59D1"/>
    <w:rsid w:val="00FB7D86"/>
    <w:rsid w:val="00FC045A"/>
    <w:rsid w:val="00FC1F45"/>
    <w:rsid w:val="00FC4690"/>
    <w:rsid w:val="00FC48A1"/>
    <w:rsid w:val="00FC4AAA"/>
    <w:rsid w:val="00FC73DB"/>
    <w:rsid w:val="00FD0C9B"/>
    <w:rsid w:val="00FD7FD4"/>
    <w:rsid w:val="00FE254D"/>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 w:type="character" w:styleId="af5">
    <w:name w:val="Strong"/>
    <w:basedOn w:val="a0"/>
    <w:uiPriority w:val="22"/>
    <w:qFormat/>
    <w:rsid w:val="00985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4327-7FAA-4EE8-8A5C-AEEA5431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7</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USER</cp:lastModifiedBy>
  <cp:revision>180</cp:revision>
  <cp:lastPrinted>2025-08-12T02:10:00Z</cp:lastPrinted>
  <dcterms:created xsi:type="dcterms:W3CDTF">2023-09-25T08:04:00Z</dcterms:created>
  <dcterms:modified xsi:type="dcterms:W3CDTF">2025-10-15T01:53:00Z</dcterms:modified>
</cp:coreProperties>
</file>